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8E253A" w:rsidP="001977B1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              </w:t>
            </w:r>
            <w:r w:rsidR="001977B1"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</w:t>
            </w:r>
            <w:r w:rsidRPr="008E253A">
              <w:rPr>
                <w:rFonts w:ascii="Times New Roman" w:hAnsi="Times New Roman"/>
                <w:bCs w:val="0"/>
                <w:sz w:val="28"/>
                <w:szCs w:val="28"/>
              </w:rPr>
              <w:t xml:space="preserve"> 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«______»_______2019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Default="008C367D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DC2512" w:rsidRDefault="0030223B" w:rsidP="008E25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7C75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0223B" w:rsidRPr="00DC2512" w:rsidRDefault="0030223B" w:rsidP="008E253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00EF1" w:rsidRPr="00DC2512" w:rsidRDefault="00000EF1" w:rsidP="002C458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 Утвердить:</w:t>
      </w:r>
    </w:p>
    <w:p w:rsidR="0099079E" w:rsidRPr="00DC2512" w:rsidRDefault="00000EF1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го района (приложение № 1);</w:t>
      </w:r>
    </w:p>
    <w:p w:rsidR="00000EF1" w:rsidRPr="00DC2512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000EF1" w:rsidRPr="00DC2512">
        <w:rPr>
          <w:rFonts w:ascii="Times New Roman" w:hAnsi="Times New Roman"/>
          <w:sz w:val="28"/>
          <w:szCs w:val="28"/>
        </w:rPr>
        <w:t>) состав комиссии по проведению конкурса на право размещения нест</w:t>
      </w:r>
      <w:r w:rsidR="00000EF1" w:rsidRPr="00DC2512">
        <w:rPr>
          <w:rFonts w:ascii="Times New Roman" w:hAnsi="Times New Roman"/>
          <w:sz w:val="28"/>
          <w:szCs w:val="28"/>
        </w:rPr>
        <w:t>а</w:t>
      </w:r>
      <w:r w:rsidR="00000EF1" w:rsidRPr="00DC2512"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</w:t>
      </w:r>
      <w:r w:rsidR="00000EF1" w:rsidRPr="00DC2512">
        <w:rPr>
          <w:rFonts w:ascii="Times New Roman" w:hAnsi="Times New Roman"/>
          <w:sz w:val="28"/>
          <w:szCs w:val="28"/>
        </w:rPr>
        <w:t>ь</w:t>
      </w:r>
      <w:r w:rsidR="00000EF1" w:rsidRPr="00DC2512">
        <w:rPr>
          <w:rFonts w:ascii="Times New Roman" w:hAnsi="Times New Roman"/>
          <w:sz w:val="28"/>
          <w:szCs w:val="28"/>
        </w:rPr>
        <w:t xml:space="preserve">ского поселения Красноармейского района </w:t>
      </w:r>
      <w:r w:rsidR="00B908FC" w:rsidRPr="00DC2512">
        <w:rPr>
          <w:rFonts w:ascii="Times New Roman" w:hAnsi="Times New Roman"/>
          <w:sz w:val="28"/>
          <w:szCs w:val="28"/>
        </w:rPr>
        <w:t xml:space="preserve">(приложение №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30223B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77B1" w:rsidRPr="001977B1">
        <w:rPr>
          <w:rFonts w:ascii="Times New Roman" w:hAnsi="Times New Roman"/>
          <w:sz w:val="28"/>
          <w:szCs w:val="28"/>
        </w:rPr>
        <w:t xml:space="preserve"> </w:t>
      </w:r>
      <w:r w:rsidR="001977B1" w:rsidRPr="001977B1">
        <w:rPr>
          <w:rFonts w:ascii="Times New Roman" w:hAnsi="Times New Roman"/>
          <w:bCs/>
          <w:sz w:val="28"/>
          <w:szCs w:val="28"/>
        </w:rPr>
        <w:t>Считать утратившими силу: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bCs/>
          <w:sz w:val="28"/>
          <w:szCs w:val="28"/>
        </w:rPr>
        <w:t xml:space="preserve">1) </w:t>
      </w:r>
      <w:r w:rsidRPr="001977B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7B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977B1">
        <w:rPr>
          <w:rFonts w:ascii="Times New Roman" w:hAnsi="Times New Roman"/>
          <w:sz w:val="28"/>
          <w:szCs w:val="28"/>
        </w:rPr>
        <w:t xml:space="preserve"> по-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9 июня 2015 года № 144 «</w:t>
      </w:r>
      <w:r w:rsidRPr="001977B1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 на территории Старонижестеблиевского сельского поселения Красноармейского района»;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2) постановление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размещ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t>нии нестационарных торговых объектов на территории Старонижестеблиевск</w:t>
      </w:r>
      <w:r w:rsidRPr="001977B1">
        <w:rPr>
          <w:rFonts w:ascii="Times New Roman" w:hAnsi="Times New Roman"/>
          <w:bCs/>
          <w:sz w:val="28"/>
          <w:szCs w:val="28"/>
        </w:rPr>
        <w:t>о</w:t>
      </w:r>
      <w:r w:rsidRPr="001977B1">
        <w:rPr>
          <w:rFonts w:ascii="Times New Roman" w:hAnsi="Times New Roman"/>
          <w:bCs/>
          <w:sz w:val="28"/>
          <w:szCs w:val="28"/>
        </w:rPr>
        <w:t>го сельского поселения Красноармейского района»;</w:t>
      </w:r>
    </w:p>
    <w:p w:rsidR="00606962" w:rsidRDefault="001977B1" w:rsidP="00CB2A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bCs/>
          <w:sz w:val="28"/>
          <w:szCs w:val="28"/>
        </w:rPr>
        <w:t>3) п</w:t>
      </w:r>
      <w:r w:rsidRPr="001977B1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7B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977B1">
        <w:rPr>
          <w:rFonts w:ascii="Times New Roman" w:hAnsi="Times New Roman"/>
          <w:sz w:val="28"/>
          <w:szCs w:val="28"/>
        </w:rPr>
        <w:t xml:space="preserve"> по</w:t>
      </w:r>
      <w:r w:rsidR="00606962">
        <w:rPr>
          <w:rFonts w:ascii="Times New Roman" w:hAnsi="Times New Roman"/>
          <w:sz w:val="28"/>
          <w:szCs w:val="28"/>
        </w:rPr>
        <w:t>-</w:t>
      </w:r>
    </w:p>
    <w:p w:rsidR="001977B1" w:rsidRPr="001977B1" w:rsidRDefault="001977B1" w:rsidP="0060696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21 марта 2016 года № 110 «О внесении изменений в постановление администрации Старонижестеблиевского сельского поселения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t>щении нестационарных торговых объектов на территории Старонижестеблие</w:t>
      </w:r>
      <w:r w:rsidRPr="001977B1">
        <w:rPr>
          <w:rFonts w:ascii="Times New Roman" w:hAnsi="Times New Roman"/>
          <w:bCs/>
          <w:sz w:val="28"/>
          <w:szCs w:val="28"/>
        </w:rPr>
        <w:t>в</w:t>
      </w:r>
      <w:r w:rsidRPr="001977B1">
        <w:rPr>
          <w:rFonts w:ascii="Times New Roman" w:hAnsi="Times New Roman"/>
          <w:bCs/>
          <w:sz w:val="28"/>
          <w:szCs w:val="28"/>
        </w:rPr>
        <w:t>ского сельского поселения Красноармейского района»;</w:t>
      </w:r>
    </w:p>
    <w:p w:rsid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4) постановление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от 2 октября 2018 года № 141 «О внесении изменений в постановление администрации Старонижестеблиевского сельского поселения Красноармейского района от 26 августа 2015 года № 257 «</w:t>
      </w:r>
      <w:r w:rsidRPr="001977B1">
        <w:rPr>
          <w:rFonts w:ascii="Times New Roman" w:hAnsi="Times New Roman"/>
          <w:bCs/>
          <w:sz w:val="28"/>
          <w:szCs w:val="28"/>
        </w:rPr>
        <w:t>О разм</w:t>
      </w:r>
      <w:r w:rsidRPr="001977B1">
        <w:rPr>
          <w:rFonts w:ascii="Times New Roman" w:hAnsi="Times New Roman"/>
          <w:bCs/>
          <w:sz w:val="28"/>
          <w:szCs w:val="28"/>
        </w:rPr>
        <w:t>е</w:t>
      </w:r>
      <w:r w:rsidRPr="001977B1">
        <w:rPr>
          <w:rFonts w:ascii="Times New Roman" w:hAnsi="Times New Roman"/>
          <w:bCs/>
          <w:sz w:val="28"/>
          <w:szCs w:val="28"/>
        </w:rPr>
        <w:lastRenderedPageBreak/>
        <w:t>щении нестационарных торговых объектов на территории Старонижестеблие</w:t>
      </w:r>
      <w:r w:rsidRPr="001977B1">
        <w:rPr>
          <w:rFonts w:ascii="Times New Roman" w:hAnsi="Times New Roman"/>
          <w:bCs/>
          <w:sz w:val="28"/>
          <w:szCs w:val="28"/>
        </w:rPr>
        <w:t>в</w:t>
      </w:r>
      <w:r w:rsidRPr="001977B1">
        <w:rPr>
          <w:rFonts w:ascii="Times New Roman" w:hAnsi="Times New Roman"/>
          <w:bCs/>
          <w:sz w:val="28"/>
          <w:szCs w:val="28"/>
        </w:rPr>
        <w:t>ского сельского пос</w:t>
      </w:r>
      <w:r w:rsidR="00CB2AD2">
        <w:rPr>
          <w:rFonts w:ascii="Times New Roman" w:hAnsi="Times New Roman"/>
          <w:bCs/>
          <w:sz w:val="28"/>
          <w:szCs w:val="28"/>
        </w:rPr>
        <w:t>еления Красноармейского района»;</w:t>
      </w:r>
    </w:p>
    <w:p w:rsidR="00CB2AD2" w:rsidRDefault="00CB2AD2" w:rsidP="00CB2A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B2AD2">
        <w:rPr>
          <w:rFonts w:ascii="Times New Roman" w:hAnsi="Times New Roman"/>
          <w:sz w:val="28"/>
          <w:szCs w:val="28"/>
        </w:rPr>
        <w:t xml:space="preserve"> </w:t>
      </w:r>
      <w:r w:rsidRPr="001977B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 xml:space="preserve">селения Красноармейского района от </w:t>
      </w:r>
      <w:r>
        <w:rPr>
          <w:rFonts w:ascii="Times New Roman" w:hAnsi="Times New Roman"/>
          <w:sz w:val="28"/>
          <w:szCs w:val="28"/>
        </w:rPr>
        <w:t>27 мая</w:t>
      </w:r>
      <w:r w:rsidRPr="001977B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1977B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78 </w:t>
      </w:r>
      <w:r w:rsidRPr="001977B1">
        <w:rPr>
          <w:rFonts w:ascii="Times New Roman" w:hAnsi="Times New Roman"/>
          <w:sz w:val="28"/>
          <w:szCs w:val="28"/>
        </w:rPr>
        <w:t>«</w:t>
      </w:r>
      <w:r w:rsidRPr="001977B1">
        <w:rPr>
          <w:rFonts w:ascii="Times New Roman" w:hAnsi="Times New Roman"/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1977B1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bCs/>
          <w:sz w:val="28"/>
          <w:szCs w:val="28"/>
        </w:rPr>
        <w:t xml:space="preserve"> сельского пос</w:t>
      </w:r>
      <w:r>
        <w:rPr>
          <w:rFonts w:ascii="Times New Roman" w:hAnsi="Times New Roman"/>
          <w:bCs/>
          <w:sz w:val="28"/>
          <w:szCs w:val="28"/>
        </w:rPr>
        <w:t>еления Красноармейского района»;</w:t>
      </w:r>
    </w:p>
    <w:p w:rsidR="00CB2AD2" w:rsidRPr="00CB2AD2" w:rsidRDefault="00CB2AD2" w:rsidP="00CB2A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Pr="00CB2AD2">
        <w:rPr>
          <w:rFonts w:ascii="Times New Roman" w:hAnsi="Times New Roman"/>
          <w:sz w:val="28"/>
          <w:szCs w:val="28"/>
        </w:rPr>
        <w:t xml:space="preserve"> </w:t>
      </w:r>
      <w:r w:rsidRPr="001977B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 xml:space="preserve">селения Красноармейского района от </w:t>
      </w:r>
      <w:r>
        <w:rPr>
          <w:rFonts w:ascii="Times New Roman" w:hAnsi="Times New Roman"/>
          <w:sz w:val="28"/>
          <w:szCs w:val="28"/>
        </w:rPr>
        <w:t xml:space="preserve">4 июля </w:t>
      </w:r>
      <w:r w:rsidRPr="001977B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1977B1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02</w:t>
      </w:r>
      <w:r w:rsidRPr="001977B1">
        <w:rPr>
          <w:rFonts w:ascii="Times New Roman" w:hAnsi="Times New Roman"/>
          <w:sz w:val="28"/>
          <w:szCs w:val="28"/>
        </w:rPr>
        <w:t xml:space="preserve"> «О внесении и</w:t>
      </w:r>
      <w:r w:rsidRPr="001977B1">
        <w:rPr>
          <w:rFonts w:ascii="Times New Roman" w:hAnsi="Times New Roman"/>
          <w:sz w:val="28"/>
          <w:szCs w:val="28"/>
        </w:rPr>
        <w:t>з</w:t>
      </w:r>
      <w:r w:rsidRPr="001977B1">
        <w:rPr>
          <w:rFonts w:ascii="Times New Roman" w:hAnsi="Times New Roman"/>
          <w:sz w:val="28"/>
          <w:szCs w:val="28"/>
        </w:rPr>
        <w:t xml:space="preserve">менений в постановление администрации </w:t>
      </w: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2</w:t>
      </w:r>
      <w:r>
        <w:rPr>
          <w:rFonts w:ascii="Times New Roman" w:hAnsi="Times New Roman"/>
          <w:sz w:val="28"/>
          <w:szCs w:val="28"/>
        </w:rPr>
        <w:t>7 мая 2019</w:t>
      </w:r>
      <w:r w:rsidRPr="001977B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78</w:t>
      </w:r>
      <w:r w:rsidRPr="001977B1">
        <w:rPr>
          <w:rFonts w:ascii="Times New Roman" w:hAnsi="Times New Roman"/>
          <w:sz w:val="28"/>
          <w:szCs w:val="28"/>
        </w:rPr>
        <w:t xml:space="preserve"> «</w:t>
      </w:r>
      <w:r w:rsidRPr="001977B1">
        <w:rPr>
          <w:rFonts w:ascii="Times New Roman" w:hAnsi="Times New Roman"/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Pr="001977B1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bCs/>
          <w:sz w:val="28"/>
          <w:szCs w:val="28"/>
        </w:rPr>
        <w:t xml:space="preserve"> сельского пос</w:t>
      </w:r>
      <w:r>
        <w:rPr>
          <w:rFonts w:ascii="Times New Roman" w:hAnsi="Times New Roman"/>
          <w:bCs/>
          <w:sz w:val="28"/>
          <w:szCs w:val="28"/>
        </w:rPr>
        <w:t>еления Красноармейского района».</w:t>
      </w: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3. Общему отделу администрации Старонижестеблиевского сельского п</w:t>
      </w:r>
      <w:r w:rsidRPr="001977B1">
        <w:rPr>
          <w:rFonts w:ascii="Times New Roman" w:hAnsi="Times New Roman"/>
          <w:sz w:val="28"/>
          <w:szCs w:val="28"/>
        </w:rPr>
        <w:t>о</w:t>
      </w:r>
      <w:r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Pr="001977B1">
        <w:rPr>
          <w:rFonts w:ascii="Times New Roman" w:hAnsi="Times New Roman"/>
          <w:sz w:val="28"/>
          <w:szCs w:val="28"/>
        </w:rPr>
        <w:t>в</w:t>
      </w:r>
      <w:r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1977B1">
        <w:rPr>
          <w:rFonts w:ascii="Times New Roman" w:hAnsi="Times New Roman"/>
          <w:sz w:val="28"/>
          <w:szCs w:val="28"/>
        </w:rPr>
        <w:t>а</w:t>
      </w:r>
      <w:r w:rsidRPr="001977B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977B1">
        <w:rPr>
          <w:rFonts w:ascii="Times New Roman" w:hAnsi="Times New Roman"/>
          <w:sz w:val="28"/>
          <w:szCs w:val="28"/>
        </w:rPr>
        <w:t>й</w:t>
      </w:r>
      <w:r w:rsidRPr="001977B1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CB2AD2" w:rsidRPr="00CB2AD2" w:rsidRDefault="001977B1" w:rsidP="00CB2AD2">
      <w:pPr>
        <w:ind w:firstLine="709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5</w:t>
      </w:r>
      <w:r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0A0337" w:rsidRPr="001977B1" w:rsidRDefault="000A0337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2C4582" w:rsidRPr="00DC2512" w:rsidRDefault="002C4582" w:rsidP="00933993">
      <w:pPr>
        <w:tabs>
          <w:tab w:val="left" w:pos="3304"/>
        </w:tabs>
        <w:ind w:left="567" w:firstLine="0"/>
        <w:jc w:val="left"/>
        <w:rPr>
          <w:rFonts w:ascii="Times New Roman" w:hAnsi="Times New Roman"/>
          <w:sz w:val="28"/>
          <w:szCs w:val="28"/>
        </w:rPr>
      </w:pPr>
    </w:p>
    <w:p w:rsidR="008C367D" w:rsidRDefault="008C367D" w:rsidP="00CB2AD2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2C4582" w:rsidRDefault="002C4582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50557" w:rsidRDefault="00B50557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50557" w:rsidRDefault="00B50557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Pr="00DC2512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54A" w:rsidRPr="00DC2512" w:rsidRDefault="008E253A" w:rsidP="008E253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201</w:t>
      </w:r>
      <w:r w:rsidR="00F259FD" w:rsidRPr="00DC2512">
        <w:rPr>
          <w:rFonts w:ascii="Times New Roman" w:hAnsi="Times New Roman" w:cs="Times New Roman"/>
          <w:sz w:val="28"/>
          <w:szCs w:val="28"/>
        </w:rPr>
        <w:t>9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8E253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Положение распространяется на отношения, связанные с размещением нестационарных торговых объектов в зданиях, строениях, сооружениях на зе</w:t>
      </w:r>
      <w:r w:rsidRPr="00DC2512">
        <w:rPr>
          <w:rFonts w:ascii="Times New Roman" w:hAnsi="Times New Roman" w:cs="Times New Roman"/>
          <w:sz w:val="28"/>
          <w:szCs w:val="28"/>
        </w:rPr>
        <w:t>м</w:t>
      </w:r>
      <w:r w:rsidRPr="00DC2512">
        <w:rPr>
          <w:rFonts w:ascii="Times New Roman" w:hAnsi="Times New Roman" w:cs="Times New Roman"/>
          <w:sz w:val="28"/>
          <w:szCs w:val="28"/>
        </w:rPr>
        <w:t xml:space="preserve">лях общего пользования, находящихся в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</w:t>
      </w:r>
      <w:r w:rsidR="001977B1">
        <w:rPr>
          <w:rFonts w:ascii="Times New Roman" w:hAnsi="Times New Roman" w:cs="Times New Roman"/>
          <w:sz w:val="28"/>
          <w:szCs w:val="28"/>
        </w:rPr>
        <w:t>о</w:t>
      </w:r>
      <w:r w:rsidR="001977B1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з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мельных участках государственная собственность на которые не разграничена.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7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ства по техническому регулированию и метрологии от 28 августа 2013 года № 582-ст, и постановлением главы администрации (губернатора) Краснода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автоматов), киосков и павильонов, в том числе в составе торгово-остановочных комплексов, - до пяти лет.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CB2AD2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CB2AD2">
        <w:rPr>
          <w:rFonts w:ascii="Times New Roman" w:hAnsi="Times New Roman"/>
          <w:sz w:val="28"/>
          <w:szCs w:val="28"/>
        </w:rPr>
        <w:t>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>ния Красноармейский район (далее - Схема) - документ, содержащий сведения 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CB2AD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53A" w:rsidRPr="00B244B0" w:rsidRDefault="008E253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2.11. Результаты голосования и решение Конкурсной комиссии заносятся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 УСЛОВИЯ УЧАСТИЯ 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8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9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lastRenderedPageBreak/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5533C8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5533C8" w:rsidRPr="005533C8" w:rsidRDefault="007C754A" w:rsidP="005533C8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конкурсе во время, в месте, в порядке и в соответствии с процедурами, которые указаны в информационном сообщении. Вскрытие всех поступивших конве</w:t>
      </w:r>
      <w:r w:rsidR="005533C8" w:rsidRPr="005533C8">
        <w:rPr>
          <w:rFonts w:ascii="Times New Roman" w:hAnsi="Times New Roman"/>
          <w:sz w:val="28"/>
          <w:szCs w:val="28"/>
        </w:rPr>
        <w:t>р</w:t>
      </w:r>
      <w:r w:rsidR="005533C8"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lastRenderedPageBreak/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proofErr w:type="gramStart"/>
      <w:r w:rsidR="008E253A">
        <w:rPr>
          <w:rFonts w:ascii="Times New Roman" w:hAnsi="Times New Roman"/>
          <w:sz w:val="28"/>
          <w:szCs w:val="28"/>
        </w:rPr>
        <w:t>.</w:t>
      </w:r>
      <w:r w:rsidR="007C754A" w:rsidRPr="00DC2512">
        <w:rPr>
          <w:rFonts w:ascii="Times New Roman" w:hAnsi="Times New Roman"/>
          <w:sz w:val="28"/>
          <w:szCs w:val="28"/>
        </w:rPr>
        <w:t>.</w:t>
      </w:r>
      <w:proofErr w:type="gramEnd"/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</w:t>
      </w:r>
      <w:r w:rsidR="00A86DA0" w:rsidRPr="00EE72D6">
        <w:rPr>
          <w:rFonts w:ascii="Times New Roman" w:hAnsi="Times New Roman" w:cs="Times New Roman"/>
          <w:sz w:val="28"/>
          <w:szCs w:val="28"/>
        </w:rPr>
        <w:t>о</w:t>
      </w:r>
      <w:r w:rsidR="00A86DA0" w:rsidRPr="00EE72D6">
        <w:rPr>
          <w:rFonts w:ascii="Times New Roman" w:hAnsi="Times New Roman" w:cs="Times New Roman"/>
          <w:sz w:val="28"/>
          <w:szCs w:val="28"/>
        </w:rPr>
        <w:t>давший такую заявку, соответствует требованиям, которые предъявляются к участнику Конкурса и указаны в конкурсной документации</w:t>
      </w:r>
      <w:r w:rsidR="00A86DA0"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lastRenderedPageBreak/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proofErr w:type="gramStart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2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  <w:proofErr w:type="gramEnd"/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lastRenderedPageBreak/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3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24" w:rsidRPr="0008328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подпунктах 3.2.6, 3.2.7 настоящего Положения, – непосредственно после 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  <w:proofErr w:type="gramEnd"/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 xml:space="preserve">ределенному в соответствии с методикой определения платы по договору за размещение НТО на территории </w:t>
      </w:r>
      <w:proofErr w:type="spellStart"/>
      <w:r w:rsidRPr="00FD33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33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Заявление индивидуальным предпринимателем (юридическим лицом)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отходов со 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циализированными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985F08" w:rsidRDefault="00985F08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2F6917" w:rsidRDefault="002F6917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6917" w:rsidRPr="00DC2512" w:rsidRDefault="002F6917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FD33B1" w:rsidRPr="00B244B0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7C754A" w:rsidRPr="00DC2512" w:rsidRDefault="007C754A" w:rsidP="00F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68D8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bookmarkStart w:id="25" w:name="_GoBack"/>
      <w:bookmarkEnd w:id="25"/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         Т.А. Филимонова</w:t>
      </w: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3B1" w:rsidRDefault="00FD33B1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3B1" w:rsidRDefault="00FD33B1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7C2945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7C2945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 xml:space="preserve"> </w:t>
      </w:r>
    </w:p>
    <w:p w:rsidR="00C6306A" w:rsidRDefault="008C367D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  <w:r w:rsidR="00C6306A">
        <w:rPr>
          <w:rFonts w:ascii="Times New Roman" w:hAnsi="Times New Roman"/>
          <w:sz w:val="28"/>
          <w:szCs w:val="28"/>
        </w:rPr>
        <w:t>Ст</w:t>
      </w:r>
      <w:r w:rsidR="00C6306A">
        <w:rPr>
          <w:rFonts w:ascii="Times New Roman" w:hAnsi="Times New Roman"/>
          <w:sz w:val="28"/>
          <w:szCs w:val="28"/>
        </w:rPr>
        <w:t>а</w:t>
      </w:r>
      <w:r w:rsidR="00C6306A">
        <w:rPr>
          <w:rFonts w:ascii="Times New Roman" w:hAnsi="Times New Roman"/>
          <w:sz w:val="28"/>
          <w:szCs w:val="28"/>
        </w:rPr>
        <w:t>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</w:t>
      </w:r>
    </w:p>
    <w:p w:rsidR="007C754A" w:rsidRPr="00DC2512" w:rsidRDefault="008C367D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 Красн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6306A">
        <w:rPr>
          <w:rFonts w:ascii="Times New Roman" w:hAnsi="Times New Roman"/>
          <w:sz w:val="28"/>
          <w:szCs w:val="28"/>
        </w:rPr>
        <w:t>Стар</w:t>
      </w:r>
      <w:r w:rsidR="00FD2661">
        <w:rPr>
          <w:rFonts w:ascii="Times New Roman" w:hAnsi="Times New Roman"/>
          <w:sz w:val="28"/>
          <w:szCs w:val="28"/>
        </w:rPr>
        <w:t>онижестеблиевского</w:t>
      </w:r>
      <w:proofErr w:type="spellEnd"/>
      <w:r w:rsidR="00FD2661"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</w:t>
      </w:r>
      <w:r w:rsidR="007C2945">
        <w:rPr>
          <w:rFonts w:ascii="Times New Roman" w:hAnsi="Times New Roman"/>
          <w:sz w:val="28"/>
          <w:szCs w:val="28"/>
        </w:rPr>
        <w:t xml:space="preserve">         </w:t>
      </w:r>
      <w:r w:rsidRPr="00C6306A">
        <w:rPr>
          <w:rFonts w:ascii="Times New Roman" w:hAnsi="Times New Roman"/>
          <w:sz w:val="28"/>
          <w:szCs w:val="28"/>
        </w:rPr>
        <w:t xml:space="preserve">        </w:t>
      </w:r>
      <w:r w:rsidR="007C2945">
        <w:rPr>
          <w:rFonts w:ascii="Times New Roman" w:hAnsi="Times New Roman"/>
          <w:sz w:val="28"/>
          <w:szCs w:val="28"/>
        </w:rPr>
        <w:t>Т.А. Филимонова</w:t>
      </w:r>
    </w:p>
    <w:p w:rsidR="007C2945" w:rsidRDefault="007C2945" w:rsidP="002F691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 xml:space="preserve">ектов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</w:t>
      </w:r>
      <w:r w:rsidR="00FD2661">
        <w:rPr>
          <w:rFonts w:ascii="Times New Roman" w:hAnsi="Times New Roman"/>
          <w:sz w:val="28"/>
          <w:szCs w:val="28"/>
        </w:rPr>
        <w:t>о</w:t>
      </w:r>
      <w:r w:rsidR="00FD2661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FD2661">
        <w:rPr>
          <w:rFonts w:ascii="Times New Roman" w:hAnsi="Times New Roman"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1,5 – с 1 апреля по 31 октября,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proofErr w:type="spellEnd"/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proofErr w:type="spellStart"/>
      <w:r w:rsidRPr="007C2945">
        <w:rPr>
          <w:rFonts w:ascii="Times New Roman" w:hAnsi="Times New Roman"/>
          <w:b/>
          <w:sz w:val="28"/>
          <w:szCs w:val="28"/>
        </w:rPr>
        <w:t>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lastRenderedPageBreak/>
        <w:t xml:space="preserve">Значения коэффициента </w:t>
      </w:r>
      <w:proofErr w:type="spellStart"/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7C2945">
        <w:rPr>
          <w:rFonts w:ascii="Times New Roman" w:hAnsi="Times New Roman"/>
          <w:sz w:val="28"/>
          <w:szCs w:val="28"/>
        </w:rPr>
        <w:t xml:space="preserve">    Т.А. Филимонова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7C2945" w:rsidRPr="008E253A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объектов на территории </w:t>
      </w:r>
      <w:proofErr w:type="spellStart"/>
      <w:r w:rsidR="008E253A">
        <w:rPr>
          <w:rFonts w:ascii="Times New Roman" w:hAnsi="Times New Roman"/>
          <w:sz w:val="28"/>
          <w:szCs w:val="28"/>
        </w:rPr>
        <w:t>Стар</w:t>
      </w:r>
      <w:r w:rsidR="008E253A">
        <w:rPr>
          <w:rFonts w:ascii="Times New Roman" w:hAnsi="Times New Roman"/>
          <w:sz w:val="28"/>
          <w:szCs w:val="28"/>
        </w:rPr>
        <w:t>о</w:t>
      </w:r>
      <w:r w:rsidR="008E253A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8E25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>скогого</w:t>
      </w:r>
      <w:proofErr w:type="spellEnd"/>
      <w:r w:rsidR="008E253A">
        <w:rPr>
          <w:rFonts w:ascii="Times New Roman" w:hAnsi="Times New Roman"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поселения Красноармейского района</w:t>
      </w:r>
    </w:p>
    <w:p w:rsidR="007C2945" w:rsidRPr="007C2945" w:rsidRDefault="007C2945" w:rsidP="00FD266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</w:t>
      </w:r>
      <w:proofErr w:type="spellStart"/>
      <w:r w:rsidR="007C2945">
        <w:rPr>
          <w:rFonts w:ascii="Times New Roman" w:hAnsi="Times New Roman" w:cs="Times New Roman"/>
          <w:color w:val="auto"/>
          <w:sz w:val="28"/>
          <w:szCs w:val="28"/>
        </w:rPr>
        <w:t>Старонижестеблиевская</w:t>
      </w:r>
      <w:proofErr w:type="spellEnd"/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2.1.1.3. в случае </w:t>
      </w:r>
      <w:proofErr w:type="spellStart"/>
      <w:r w:rsidRPr="007C2945">
        <w:rPr>
          <w:rFonts w:ascii="Times New Roman" w:hAnsi="Times New Roman"/>
          <w:sz w:val="28"/>
        </w:rPr>
        <w:t>неразмещения</w:t>
      </w:r>
      <w:proofErr w:type="spellEnd"/>
      <w:r w:rsidRPr="007C2945">
        <w:rPr>
          <w:rFonts w:ascii="Times New Roman" w:hAnsi="Times New Roman"/>
          <w:sz w:val="28"/>
        </w:rPr>
        <w:t xml:space="preserve">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2.1.1.4. в случае </w:t>
      </w:r>
      <w:proofErr w:type="gramStart"/>
      <w:r w:rsidRPr="007C2945">
        <w:rPr>
          <w:rFonts w:ascii="Times New Roman" w:hAnsi="Times New Roman"/>
          <w:sz w:val="28"/>
        </w:rPr>
        <w:t>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рии</w:t>
      </w:r>
      <w:proofErr w:type="gramEnd"/>
      <w:r w:rsidRPr="007C294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lastRenderedPageBreak/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lastRenderedPageBreak/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lastRenderedPageBreak/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нитарному содержанию территории </w:t>
      </w:r>
      <w:proofErr w:type="spellStart"/>
      <w:r w:rsidRPr="007C2945">
        <w:rPr>
          <w:rFonts w:ascii="Times New Roman" w:hAnsi="Times New Roman"/>
          <w:sz w:val="28"/>
          <w:szCs w:val="20"/>
        </w:rPr>
        <w:t>Чебургольского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lastRenderedPageBreak/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8E253A" w:rsidRPr="00FD2661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E253A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АКТ ОБСЛЕДОВАНИЯ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FD2661" w:rsidP="00125B6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5B6E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Default="00125B6E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</w:p>
    <w:p w:rsidR="00FD33B1" w:rsidRPr="00DC2512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FD33B1" w:rsidRPr="00DC2512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FD33B1" w:rsidP="00FD266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______________201__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C6306A" w:rsidTr="00FD2661">
        <w:tc>
          <w:tcPr>
            <w:tcW w:w="1606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Черепанова 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Елена Егоровна</w:t>
            </w:r>
          </w:p>
        </w:tc>
        <w:tc>
          <w:tcPr>
            <w:tcW w:w="273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председатель комиссии;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B1" w:rsidRPr="00C6306A" w:rsidTr="00FD2661">
        <w:tc>
          <w:tcPr>
            <w:tcW w:w="1606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Супрун 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армейского района, заместитель председателя комиссии;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B1" w:rsidRPr="00C6306A" w:rsidTr="00FD2661">
        <w:tc>
          <w:tcPr>
            <w:tcW w:w="1606" w:type="pct"/>
          </w:tcPr>
          <w:p w:rsidR="00FD33B1" w:rsidRPr="00C6306A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Дягилева </w:t>
            </w:r>
          </w:p>
          <w:p w:rsidR="00FD33B1" w:rsidRPr="00C6306A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273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FD33B1" w:rsidRPr="00C6306A" w:rsidRDefault="0082582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>едущий специалист общего отдела администр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>а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FD33B1"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FD33B1" w:rsidRPr="00C6306A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>е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>ния Красноармейского района. Секретарь коми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>с</w:t>
            </w:r>
            <w:r w:rsidR="00FD33B1" w:rsidRPr="00C6306A">
              <w:rPr>
                <w:rFonts w:ascii="Times New Roman" w:hAnsi="Times New Roman"/>
                <w:sz w:val="28"/>
                <w:szCs w:val="28"/>
              </w:rPr>
              <w:t xml:space="preserve">сии </w:t>
            </w:r>
          </w:p>
        </w:tc>
      </w:tr>
      <w:tr w:rsidR="00FD33B1" w:rsidRPr="00C6306A" w:rsidTr="00FD2661">
        <w:tc>
          <w:tcPr>
            <w:tcW w:w="5000" w:type="pct"/>
            <w:gridSpan w:val="3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B1" w:rsidRPr="00C6306A" w:rsidTr="00FD2661">
        <w:tc>
          <w:tcPr>
            <w:tcW w:w="1606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Шутка </w:t>
            </w:r>
          </w:p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FD33B1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социально-экономическим вопросам администрации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армейского района; </w:t>
            </w:r>
          </w:p>
          <w:p w:rsidR="00825821" w:rsidRPr="00C6306A" w:rsidRDefault="0082582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3B1" w:rsidRPr="00C6306A" w:rsidTr="00FD2661">
        <w:tc>
          <w:tcPr>
            <w:tcW w:w="1606" w:type="pct"/>
          </w:tcPr>
          <w:p w:rsidR="00FD33B1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</w:t>
            </w:r>
          </w:p>
          <w:p w:rsidR="00FD33B1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  <w:p w:rsidR="00825821" w:rsidRDefault="0082582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Арутюнова                        Инна Николаевна</w:t>
            </w: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Нимченко</w:t>
            </w:r>
          </w:p>
          <w:p w:rsidR="00825821" w:rsidRPr="00C6306A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Степанович</w:t>
            </w:r>
          </w:p>
          <w:p w:rsidR="00825821" w:rsidRPr="00C6306A" w:rsidRDefault="0082582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:rsidR="00FD33B1" w:rsidRPr="00C6306A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1" w:type="pct"/>
          </w:tcPr>
          <w:p w:rsidR="00FD33B1" w:rsidRDefault="00FD33B1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лавный специалист по юридическим вопросам администрации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ь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</w:t>
            </w: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917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  <w:r w:rsidR="002C3C5C">
              <w:rPr>
                <w:rFonts w:ascii="Times New Roman" w:hAnsi="Times New Roman"/>
                <w:sz w:val="28"/>
                <w:szCs w:val="28"/>
              </w:rPr>
              <w:t>по развитию МФХ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и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о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селе</w:t>
            </w:r>
            <w:r>
              <w:rPr>
                <w:rFonts w:ascii="Times New Roman" w:hAnsi="Times New Roman"/>
                <w:sz w:val="28"/>
                <w:szCs w:val="28"/>
              </w:rPr>
              <w:t>ния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5821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25821" w:rsidRPr="00C6306A" w:rsidRDefault="00825821" w:rsidP="0082582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земельным отношениям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ь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района.</w:t>
            </w:r>
          </w:p>
        </w:tc>
      </w:tr>
    </w:tbl>
    <w:p w:rsidR="00FD33B1" w:rsidRDefault="00FD33B1" w:rsidP="00FD33B1">
      <w:pPr>
        <w:ind w:firstLine="709"/>
        <w:rPr>
          <w:sz w:val="28"/>
          <w:szCs w:val="28"/>
        </w:rPr>
      </w:pP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FD33B1" w:rsidRPr="00C6306A" w:rsidRDefault="00FD2661" w:rsidP="00FD33B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33B1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Т.А. Филимонова</w:t>
      </w:r>
    </w:p>
    <w:p w:rsidR="00FD33B1" w:rsidRDefault="00FD33B1" w:rsidP="00FD33B1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33B1" w:rsidRPr="00C6306A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625D3F" w:rsidRPr="00DC2512" w:rsidRDefault="00625D3F" w:rsidP="00AC5F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24C83"/>
    <w:rsid w:val="00125B6E"/>
    <w:rsid w:val="00134C70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F6C72"/>
    <w:rsid w:val="001F7B98"/>
    <w:rsid w:val="002167E8"/>
    <w:rsid w:val="00222DDB"/>
    <w:rsid w:val="002258C4"/>
    <w:rsid w:val="00233766"/>
    <w:rsid w:val="0025320D"/>
    <w:rsid w:val="00272A64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F32"/>
    <w:rsid w:val="003C3B29"/>
    <w:rsid w:val="003C6395"/>
    <w:rsid w:val="003D3F19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95CDB"/>
    <w:rsid w:val="00596DBA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AE"/>
    <w:rsid w:val="0072442F"/>
    <w:rsid w:val="00724DD7"/>
    <w:rsid w:val="00730324"/>
    <w:rsid w:val="00732879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270A5"/>
    <w:rsid w:val="00B312B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00261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98298.0" TargetMode="External"/><Relationship Id="rId12" Type="http://schemas.openxmlformats.org/officeDocument/2006/relationships/hyperlink" Target="garantF1://23800500.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2953.5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7193.1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7F44-2BE0-479F-BBBE-59128A0D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31</Pages>
  <Words>10568</Words>
  <Characters>60240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57</cp:revision>
  <cp:lastPrinted>2019-06-03T05:47:00Z</cp:lastPrinted>
  <dcterms:created xsi:type="dcterms:W3CDTF">2019-02-18T10:17:00Z</dcterms:created>
  <dcterms:modified xsi:type="dcterms:W3CDTF">2019-09-16T08:26:00Z</dcterms:modified>
</cp:coreProperties>
</file>