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51E7D" w:rsidTr="00851E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1E7D" w:rsidRDefault="00851E7D" w:rsidP="00851E7D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7D" w:rsidTr="00851E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1E7D" w:rsidRPr="00487F84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51E7D" w:rsidRPr="00487F84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51E7D" w:rsidRPr="00D13402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51E7D" w:rsidRPr="00487F84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51E7D" w:rsidTr="00851E7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E7D" w:rsidRPr="00D942AD" w:rsidRDefault="00851E7D" w:rsidP="00851E7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548D0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E548D0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51E7D" w:rsidRPr="00D942AD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51E7D" w:rsidRPr="00D942AD" w:rsidRDefault="00851E7D" w:rsidP="00851E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548D0">
              <w:rPr>
                <w:rFonts w:ascii="Times New Roman" w:hAnsi="Times New Roman" w:cs="Times New Roman"/>
                <w:bCs/>
              </w:rPr>
              <w:t>186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851E7D" w:rsidTr="00851E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1E7D" w:rsidRPr="00D942AD" w:rsidRDefault="00851E7D" w:rsidP="00851E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2B3232" w:rsidRDefault="002B323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536BD" w:rsidRDefault="007536BD" w:rsidP="0085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536BD" w:rsidRDefault="007536BD" w:rsidP="0085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51E7D" w:rsidRDefault="007536BD" w:rsidP="00851E7D">
            <w:pPr>
              <w:pStyle w:val="21"/>
            </w:pPr>
            <w:r>
              <w:rPr>
                <w:szCs w:val="28"/>
              </w:rPr>
              <w:t>от 14 ноября 2017 года № 231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</w:p>
          <w:p w:rsidR="007536BD" w:rsidRDefault="007536BD" w:rsidP="00851E7D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7536BD" w:rsidRDefault="007536BD" w:rsidP="00851E7D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CD" w:rsidRPr="00FF647F" w:rsidRDefault="00F769C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851E7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851E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851E7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FF647F" w:rsidRPr="00FF647F" w:rsidRDefault="002B3232" w:rsidP="00851E7D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1.</w:t>
            </w:r>
            <w:r w:rsidR="00F769CD">
              <w:rPr>
                <w:b w:val="0"/>
                <w:szCs w:val="28"/>
              </w:rPr>
              <w:t xml:space="preserve"> </w:t>
            </w:r>
            <w:r w:rsidR="008633F2">
              <w:rPr>
                <w:b w:val="0"/>
                <w:szCs w:val="28"/>
              </w:rPr>
              <w:t xml:space="preserve">Внести изменения в </w:t>
            </w:r>
            <w:r>
              <w:rPr>
                <w:b w:val="0"/>
                <w:szCs w:val="28"/>
              </w:rPr>
              <w:t xml:space="preserve">муниципальную </w:t>
            </w:r>
            <w:r w:rsidR="00FF647F" w:rsidRPr="00FF647F">
              <w:rPr>
                <w:b w:val="0"/>
                <w:szCs w:val="28"/>
              </w:rPr>
              <w:t xml:space="preserve">программу </w:t>
            </w:r>
            <w:r w:rsidR="00851E7D">
              <w:rPr>
                <w:b w:val="0"/>
              </w:rPr>
              <w:t>«</w:t>
            </w:r>
            <w:r w:rsidR="00FF647F" w:rsidRPr="00FF647F">
              <w:rPr>
                <w:b w:val="0"/>
              </w:rPr>
              <w:t>Развитие культуры Старонижестеблиевского сельского поселе</w:t>
            </w:r>
            <w:r w:rsidR="00851E7D">
              <w:rPr>
                <w:b w:val="0"/>
              </w:rPr>
              <w:t>ния Красноармейского района»</w:t>
            </w:r>
            <w:r w:rsidR="004A550F">
              <w:rPr>
                <w:b w:val="0"/>
              </w:rPr>
              <w:t xml:space="preserve"> </w:t>
            </w:r>
            <w:r w:rsidR="00FF647F" w:rsidRPr="00FF647F">
              <w:rPr>
                <w:b w:val="0"/>
              </w:rPr>
              <w:t xml:space="preserve"> </w:t>
            </w:r>
            <w:r w:rsidR="00FF647F" w:rsidRPr="00FF647F">
              <w:rPr>
                <w:b w:val="0"/>
                <w:szCs w:val="28"/>
              </w:rPr>
              <w:t>(прилагается).</w:t>
            </w:r>
          </w:p>
          <w:p w:rsidR="00FF647F" w:rsidRPr="00FF647F" w:rsidRDefault="00FF647F" w:rsidP="00851E7D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 w:rsidR="00F769CD"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>Отделу по бухгалтерскому учету и финансам администрации 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 сельского поселения Красноармейского района (Коваленко) осуществлять финансирование расходов на ре</w:t>
            </w:r>
            <w:r w:rsidR="0048213E">
              <w:rPr>
                <w:b w:val="0"/>
                <w:szCs w:val="28"/>
              </w:rPr>
              <w:t xml:space="preserve">ализацию данной программы в </w:t>
            </w:r>
            <w:r w:rsidR="004A550F">
              <w:rPr>
                <w:b w:val="0"/>
                <w:szCs w:val="28"/>
              </w:rPr>
              <w:t>2020</w:t>
            </w:r>
            <w:r w:rsidR="0048213E">
              <w:rPr>
                <w:b w:val="0"/>
                <w:szCs w:val="28"/>
              </w:rPr>
              <w:t xml:space="preserve"> году</w:t>
            </w:r>
            <w:r w:rsidRPr="00FF647F">
              <w:rPr>
                <w:b w:val="0"/>
                <w:szCs w:val="28"/>
              </w:rPr>
              <w:t xml:space="preserve">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851E7D" w:rsidRDefault="002B3232" w:rsidP="00851E7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851E7D">
              <w:rPr>
                <w:rFonts w:ascii="Times New Roman" w:hAnsi="Times New Roman" w:cs="Times New Roman"/>
                <w:sz w:val="28"/>
                <w:szCs w:val="28"/>
              </w:rPr>
              <w:t>оставляю за с</w:t>
            </w:r>
            <w:r w:rsidR="00851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1E7D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FF647F" w:rsidRPr="00FF647F" w:rsidRDefault="002B3232" w:rsidP="00851E7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851E7D">
            <w:pPr>
              <w:pStyle w:val="21"/>
              <w:ind w:firstLine="709"/>
              <w:jc w:val="both"/>
            </w:pPr>
          </w:p>
        </w:tc>
      </w:tr>
    </w:tbl>
    <w:p w:rsidR="00F769CD" w:rsidRDefault="00F769CD" w:rsidP="00851E7D">
      <w:pPr>
        <w:tabs>
          <w:tab w:val="decimal" w:pos="4253"/>
          <w:tab w:val="left" w:pos="4962"/>
        </w:tabs>
        <w:ind w:firstLine="709"/>
        <w:rPr>
          <w:rFonts w:ascii="Times New Roman" w:hAnsi="Times New Roman" w:cs="Times New Roman"/>
          <w:sz w:val="28"/>
        </w:rPr>
      </w:pP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4A550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B430C0" w:rsidRDefault="00F769CD" w:rsidP="008633F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 района                                                                      В.В.</w:t>
      </w:r>
      <w:r w:rsidR="00851E7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p w:rsidR="00F769CD" w:rsidRPr="00FF647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7131E4" w:rsidRDefault="007131E4" w:rsidP="00FF647F">
      <w:pPr>
        <w:pStyle w:val="21"/>
        <w:rPr>
          <w:szCs w:val="28"/>
        </w:rPr>
      </w:pPr>
    </w:p>
    <w:p w:rsidR="00851E7D" w:rsidRDefault="00851E7D" w:rsidP="00FF647F">
      <w:pPr>
        <w:pStyle w:val="21"/>
        <w:rPr>
          <w:szCs w:val="28"/>
        </w:rPr>
      </w:pPr>
    </w:p>
    <w:p w:rsidR="00851E7D" w:rsidRDefault="00851E7D" w:rsidP="00FF647F">
      <w:pPr>
        <w:pStyle w:val="21"/>
        <w:rPr>
          <w:szCs w:val="28"/>
        </w:rPr>
      </w:pPr>
    </w:p>
    <w:p w:rsidR="00851E7D" w:rsidRDefault="00851E7D" w:rsidP="00FF647F">
      <w:pPr>
        <w:pStyle w:val="21"/>
        <w:rPr>
          <w:szCs w:val="28"/>
        </w:rPr>
      </w:pPr>
    </w:p>
    <w:p w:rsidR="00FF647F" w:rsidRPr="00FF647F" w:rsidRDefault="00C52BA5" w:rsidP="00851E7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851E7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851E7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851E7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851E7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FF647F" w:rsidRPr="00C52BA5">
        <w:t xml:space="preserve">Развитие культуры  Старонижестеблиевского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финансовым вопросам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Старонижестеблиевского сельского поселения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ноармейского района;</w:t>
            </w:r>
          </w:p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ССП «Сельский дом культуры»;</w:t>
            </w:r>
          </w:p>
          <w:p w:rsidR="00B03877" w:rsidRPr="00643E9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«Старонижестеблиевская сельская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lastRenderedPageBreak/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FF647F" w:rsidRPr="00FF647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8E79A5">
              <w:rPr>
                <w:rFonts w:ascii="Times New Roman" w:hAnsi="Times New Roman" w:cs="Times New Roman"/>
              </w:rPr>
              <w:t>31772,7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647D4">
              <w:rPr>
                <w:rFonts w:ascii="Times New Roman" w:hAnsi="Times New Roman" w:cs="Times New Roman"/>
              </w:rPr>
              <w:t xml:space="preserve"> год – 10883,2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03545">
              <w:rPr>
                <w:rFonts w:ascii="Times New Roman" w:hAnsi="Times New Roman" w:cs="Times New Roman"/>
              </w:rPr>
              <w:t xml:space="preserve"> год – 10163,5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0D251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8553E">
              <w:rPr>
                <w:rFonts w:ascii="Times New Roman" w:hAnsi="Times New Roman" w:cs="Times New Roman"/>
              </w:rPr>
              <w:t xml:space="preserve"> год – 10</w:t>
            </w:r>
            <w:r w:rsidR="000D251F">
              <w:rPr>
                <w:rFonts w:ascii="Times New Roman" w:hAnsi="Times New Roman" w:cs="Times New Roman"/>
              </w:rPr>
              <w:t>726</w:t>
            </w:r>
            <w:r w:rsidR="00B747C0">
              <w:rPr>
                <w:rFonts w:ascii="Times New Roman" w:hAnsi="Times New Roman" w:cs="Times New Roman"/>
              </w:rPr>
              <w:t>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по 2020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Старонижестеблиевское сельское поселение. Поэтому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являются организация и проведение мероприятий, посвященных праздн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юбилейных и памятных дат истории России, Кубани 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поселения.</w:t>
      </w:r>
    </w:p>
    <w:p w:rsidR="00DB695C" w:rsidRDefault="00DB695C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DB695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пилась материально-техническая база муниципальных учреждений культуры, их деятельность наполнилась новым содержанием.</w:t>
      </w:r>
    </w:p>
    <w:p w:rsidR="00DB695C" w:rsidRDefault="00DB695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На   территории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 пров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дятся  краевые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EA">
        <w:rPr>
          <w:rFonts w:ascii="Times New Roman" w:hAnsi="Times New Roman" w:cs="Times New Roman"/>
          <w:sz w:val="28"/>
          <w:szCs w:val="28"/>
        </w:rPr>
        <w:t xml:space="preserve"> и районные  смотры - конкурсы,  фестивали   в   сфере   культ</w:t>
      </w:r>
      <w:r w:rsidRPr="00AD7EEA">
        <w:rPr>
          <w:rFonts w:ascii="Times New Roman" w:hAnsi="Times New Roman" w:cs="Times New Roman"/>
          <w:sz w:val="28"/>
          <w:szCs w:val="28"/>
        </w:rPr>
        <w:t>у</w:t>
      </w:r>
      <w:r w:rsidRPr="00AD7EEA">
        <w:rPr>
          <w:rFonts w:ascii="Times New Roman" w:hAnsi="Times New Roman" w:cs="Times New Roman"/>
          <w:sz w:val="28"/>
          <w:szCs w:val="28"/>
        </w:rPr>
        <w:t>ры  и  искусства. Совершенствуется     система    проведения   смотров -  ко</w:t>
      </w:r>
      <w:r w:rsidRPr="00AD7EEA">
        <w:rPr>
          <w:rFonts w:ascii="Times New Roman" w:hAnsi="Times New Roman" w:cs="Times New Roman"/>
          <w:sz w:val="28"/>
          <w:szCs w:val="28"/>
        </w:rPr>
        <w:t>н</w:t>
      </w:r>
      <w:r w:rsidRPr="00AD7EEA">
        <w:rPr>
          <w:rFonts w:ascii="Times New Roman" w:hAnsi="Times New Roman" w:cs="Times New Roman"/>
          <w:sz w:val="28"/>
          <w:szCs w:val="28"/>
        </w:rPr>
        <w:t>курсов,   фестивалей самодеятельного искусства, художественного и декор</w:t>
      </w:r>
      <w:r w:rsidRPr="00AD7EEA">
        <w:rPr>
          <w:rFonts w:ascii="Times New Roman" w:hAnsi="Times New Roman" w:cs="Times New Roman"/>
          <w:sz w:val="28"/>
          <w:szCs w:val="28"/>
        </w:rPr>
        <w:t>а</w:t>
      </w:r>
      <w:r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DB695C" w:rsidRPr="006B4820" w:rsidRDefault="00DB695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Pr="006B4820">
        <w:rPr>
          <w:rFonts w:ascii="Times New Roman" w:hAnsi="Times New Roman" w:cs="Times New Roman"/>
          <w:sz w:val="28"/>
          <w:szCs w:val="28"/>
        </w:rPr>
        <w:t>успешно вн</w:t>
      </w:r>
      <w:r w:rsidRPr="006B4820">
        <w:rPr>
          <w:rFonts w:ascii="Times New Roman" w:hAnsi="Times New Roman" w:cs="Times New Roman"/>
          <w:sz w:val="28"/>
          <w:szCs w:val="28"/>
        </w:rPr>
        <w:t>е</w:t>
      </w:r>
      <w:r w:rsidRPr="006B4820">
        <w:rPr>
          <w:rFonts w:ascii="Times New Roman" w:hAnsi="Times New Roman" w:cs="Times New Roman"/>
          <w:sz w:val="28"/>
          <w:szCs w:val="28"/>
        </w:rPr>
        <w:t>дряют в свою деятельность новые информационные технологии, связанные с компьютеризацией библиотечных процессов, использованием небумажных 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сителей информации, новых коммуникационных каналов, электронных катал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гов.</w:t>
      </w:r>
    </w:p>
    <w:p w:rsidR="00DB695C" w:rsidRPr="00AD7EEA" w:rsidRDefault="00DB695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 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   в 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Default="00DB695C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851E7D">
      <w:pPr>
        <w:ind w:firstLine="709"/>
        <w:rPr>
          <w:rFonts w:ascii="Times New Roman" w:hAnsi="Times New Roman" w:cs="Times New Roman"/>
          <w:sz w:val="28"/>
        </w:rPr>
      </w:pPr>
    </w:p>
    <w:p w:rsidR="00FF647F" w:rsidRDefault="006B2352" w:rsidP="00851E7D">
      <w:pPr>
        <w:ind w:left="36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F647F" w:rsidRPr="00FF647F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6B2352" w:rsidRDefault="006B2352" w:rsidP="00851E7D">
      <w:pPr>
        <w:ind w:left="360" w:firstLine="709"/>
        <w:rPr>
          <w:rFonts w:ascii="Times New Roman" w:hAnsi="Times New Roman" w:cs="Times New Roman"/>
          <w:b/>
          <w:sz w:val="28"/>
        </w:rPr>
      </w:pPr>
    </w:p>
    <w:p w:rsidR="006B2352" w:rsidRPr="008A1120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определены исходя из необходимости создания и совершенствования условий для успешного развития культуры в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сельском поселении.</w:t>
      </w:r>
    </w:p>
    <w:p w:rsidR="006B2352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6B2352" w:rsidP="00851E7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6B2352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Pr="00F31AF0">
        <w:rPr>
          <w:rFonts w:ascii="Times New Roman" w:hAnsi="Times New Roman" w:cs="Times New Roman"/>
          <w:sz w:val="28"/>
          <w:szCs w:val="28"/>
        </w:rPr>
        <w:t>и</w:t>
      </w:r>
      <w:r w:rsidRPr="00F31AF0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6B2352" w:rsidRPr="006A5D62" w:rsidRDefault="006B2352" w:rsidP="00851E7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6A5D62">
        <w:rPr>
          <w:rFonts w:ascii="Times New Roman" w:hAnsi="Times New Roman" w:cs="Times New Roman"/>
          <w:sz w:val="28"/>
          <w:szCs w:val="28"/>
        </w:rPr>
        <w:t>н</w:t>
      </w:r>
      <w:r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6B2352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2018-2020 годы.</w:t>
      </w:r>
    </w:p>
    <w:p w:rsidR="006B2352" w:rsidRPr="00BA18B1" w:rsidRDefault="00BE24DE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FF647F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0883,2</w:t>
            </w:r>
          </w:p>
        </w:tc>
        <w:tc>
          <w:tcPr>
            <w:tcW w:w="1309" w:type="dxa"/>
          </w:tcPr>
          <w:p w:rsidR="00FF647F" w:rsidRPr="00FF647F" w:rsidRDefault="00B95EA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10163,5</w:t>
            </w:r>
          </w:p>
        </w:tc>
        <w:tc>
          <w:tcPr>
            <w:tcW w:w="1309" w:type="dxa"/>
          </w:tcPr>
          <w:p w:rsidR="00FF647F" w:rsidRPr="00FF647F" w:rsidRDefault="00C85A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10726</w:t>
            </w:r>
            <w:r w:rsidR="0088553E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7319">
              <w:rPr>
                <w:rFonts w:ascii="Times New Roman" w:hAnsi="Times New Roman" w:cs="Times New Roman"/>
              </w:rPr>
              <w:t>296,4</w:t>
            </w:r>
          </w:p>
        </w:tc>
        <w:tc>
          <w:tcPr>
            <w:tcW w:w="1309" w:type="dxa"/>
          </w:tcPr>
          <w:p w:rsidR="00FF647F" w:rsidRPr="00FF647F" w:rsidRDefault="00AE4CD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95EA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309" w:type="dxa"/>
          </w:tcPr>
          <w:p w:rsidR="00FF647F" w:rsidRPr="00FF647F" w:rsidRDefault="00C85A03" w:rsidP="00C85A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7134,7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3326,9</w:t>
            </w:r>
          </w:p>
        </w:tc>
        <w:tc>
          <w:tcPr>
            <w:tcW w:w="1309" w:type="dxa"/>
          </w:tcPr>
          <w:p w:rsidR="00FF647F" w:rsidRPr="00FF647F" w:rsidRDefault="00B95EA7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3060,1</w:t>
            </w:r>
          </w:p>
        </w:tc>
        <w:tc>
          <w:tcPr>
            <w:tcW w:w="1309" w:type="dxa"/>
          </w:tcPr>
          <w:p w:rsidR="00FF647F" w:rsidRPr="00FF647F" w:rsidRDefault="00C85A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3441,3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309" w:type="dxa"/>
          </w:tcPr>
          <w:p w:rsidR="00FF647F" w:rsidRPr="00FF647F" w:rsidRDefault="00B95EA7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309" w:type="dxa"/>
          </w:tcPr>
          <w:p w:rsidR="00FF647F" w:rsidRPr="00FF647F" w:rsidRDefault="00C85A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789E">
              <w:rPr>
                <w:rFonts w:ascii="Times New Roman" w:hAnsi="Times New Roman" w:cs="Times New Roman"/>
              </w:rPr>
              <w:t>5</w:t>
            </w:r>
            <w:r w:rsidR="004049DD">
              <w:rPr>
                <w:rFonts w:ascii="Times New Roman" w:hAnsi="Times New Roman" w:cs="Times New Roman"/>
              </w:rPr>
              <w:t>0</w:t>
            </w:r>
            <w:r w:rsidR="00FF647F" w:rsidRPr="00FF647F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2A394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праздничных дней и памятных дат».</w:t>
      </w:r>
    </w:p>
    <w:p w:rsidR="00130EB3" w:rsidRDefault="00130EB3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proofErr w:type="gramStart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туры; 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финансовое и материально-техническое обеспечение МКУК «Старонижестеблиевская сельская библиотека»;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31772,7</w:t>
            </w:r>
          </w:p>
        </w:tc>
        <w:tc>
          <w:tcPr>
            <w:tcW w:w="993" w:type="dxa"/>
            <w:gridSpan w:val="3"/>
          </w:tcPr>
          <w:p w:rsidR="00FE049C" w:rsidRPr="004273DA" w:rsidRDefault="00394748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0883,2</w:t>
            </w:r>
          </w:p>
        </w:tc>
        <w:tc>
          <w:tcPr>
            <w:tcW w:w="997" w:type="dxa"/>
            <w:gridSpan w:val="2"/>
          </w:tcPr>
          <w:p w:rsidR="00FE049C" w:rsidRPr="004273DA" w:rsidRDefault="00B95EA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10163,5</w:t>
            </w:r>
          </w:p>
        </w:tc>
        <w:tc>
          <w:tcPr>
            <w:tcW w:w="953" w:type="dxa"/>
            <w:gridSpan w:val="3"/>
          </w:tcPr>
          <w:p w:rsidR="00FE049C" w:rsidRPr="004273DA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10726,0</w:t>
            </w:r>
          </w:p>
        </w:tc>
        <w:tc>
          <w:tcPr>
            <w:tcW w:w="1164" w:type="dxa"/>
            <w:gridSpan w:val="3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26" w:type="dxa"/>
            <w:gridSpan w:val="2"/>
          </w:tcPr>
          <w:p w:rsidR="00FE049C" w:rsidRPr="004273DA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27344,1</w:t>
            </w:r>
          </w:p>
        </w:tc>
        <w:tc>
          <w:tcPr>
            <w:tcW w:w="993" w:type="dxa"/>
            <w:gridSpan w:val="3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454,6</w:t>
            </w:r>
          </w:p>
        </w:tc>
        <w:tc>
          <w:tcPr>
            <w:tcW w:w="997" w:type="dxa"/>
            <w:gridSpan w:val="2"/>
          </w:tcPr>
          <w:p w:rsidR="00FE049C" w:rsidRPr="004273DA" w:rsidRDefault="00B95EA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10163,5</w:t>
            </w:r>
          </w:p>
        </w:tc>
        <w:tc>
          <w:tcPr>
            <w:tcW w:w="953" w:type="dxa"/>
            <w:gridSpan w:val="3"/>
          </w:tcPr>
          <w:p w:rsidR="00FE049C" w:rsidRPr="004273DA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10726,0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</w:rPr>
              <w:t>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:rsidR="00FE049C" w:rsidRPr="00422F95" w:rsidRDefault="00297B82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1345,3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97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45,3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по 3000 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359,9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>
              <w:rPr>
                <w:rFonts w:ascii="Times New Roman" w:hAnsi="Times New Roman" w:cs="Times New Roman"/>
              </w:rPr>
              <w:lastRenderedPageBreak/>
              <w:t>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985,4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985,4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 (Субс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поэта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дерации)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7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кам по 3000 </w:t>
            </w:r>
            <w:r>
              <w:rPr>
                <w:rFonts w:ascii="Times New Roman" w:hAnsi="Times New Roman" w:cs="Times New Roman"/>
              </w:rPr>
              <w:lastRenderedPageBreak/>
              <w:t>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3513,6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554AEB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3513,6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21907,9</w:t>
            </w:r>
          </w:p>
        </w:tc>
        <w:tc>
          <w:tcPr>
            <w:tcW w:w="1096" w:type="dxa"/>
            <w:gridSpan w:val="3"/>
          </w:tcPr>
          <w:p w:rsidR="00FE049C" w:rsidRPr="00FC77D7" w:rsidRDefault="00361972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8061,8</w:t>
            </w:r>
          </w:p>
        </w:tc>
        <w:tc>
          <w:tcPr>
            <w:tcW w:w="889" w:type="dxa"/>
            <w:gridSpan w:val="2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6711,4</w:t>
            </w:r>
          </w:p>
        </w:tc>
        <w:tc>
          <w:tcPr>
            <w:tcW w:w="850" w:type="dxa"/>
            <w:gridSpan w:val="3"/>
          </w:tcPr>
          <w:p w:rsidR="00FE049C" w:rsidRPr="00FC77D7" w:rsidRDefault="00BC313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7134,7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BC313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18167,4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889" w:type="dxa"/>
            <w:gridSpan w:val="2"/>
          </w:tcPr>
          <w:p w:rsidR="00FE049C" w:rsidRPr="00FC77D7" w:rsidRDefault="00AF5D3D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6711,4</w:t>
            </w:r>
          </w:p>
        </w:tc>
        <w:tc>
          <w:tcPr>
            <w:tcW w:w="850" w:type="dxa"/>
            <w:gridSpan w:val="3"/>
          </w:tcPr>
          <w:p w:rsidR="00FE049C" w:rsidRPr="00FC77D7" w:rsidRDefault="00BC3137" w:rsidP="00BC31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7134,7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525AFE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  <w:proofErr w:type="spellEnd"/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765,4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765,4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rPr>
          <w:trHeight w:val="116"/>
        </w:trPr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764D8E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889" w:type="dxa"/>
            <w:gridSpan w:val="2"/>
          </w:tcPr>
          <w:p w:rsidR="00FE049C" w:rsidRPr="001D3CF8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lastRenderedPageBreak/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 xml:space="preserve">ского поселения </w:t>
            </w:r>
            <w:r w:rsidRPr="00FC77D7">
              <w:rPr>
                <w:rFonts w:ascii="Times New Roman" w:hAnsi="Times New Roman" w:cs="Times New Roman"/>
              </w:rPr>
              <w:lastRenderedPageBreak/>
              <w:t>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10408,2</w:t>
            </w:r>
          </w:p>
        </w:tc>
        <w:tc>
          <w:tcPr>
            <w:tcW w:w="1096" w:type="dxa"/>
            <w:gridSpan w:val="3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3906,8</w:t>
            </w:r>
          </w:p>
        </w:tc>
        <w:tc>
          <w:tcPr>
            <w:tcW w:w="889" w:type="dxa"/>
            <w:gridSpan w:val="2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3060,1</w:t>
            </w:r>
          </w:p>
        </w:tc>
        <w:tc>
          <w:tcPr>
            <w:tcW w:w="850" w:type="dxa"/>
            <w:gridSpan w:val="3"/>
          </w:tcPr>
          <w:p w:rsidR="00FE049C" w:rsidRPr="00FC77D7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3441,3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8374,8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1873,4</w:t>
            </w:r>
          </w:p>
        </w:tc>
        <w:tc>
          <w:tcPr>
            <w:tcW w:w="889" w:type="dxa"/>
            <w:gridSpan w:val="2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3060,1</w:t>
            </w:r>
          </w:p>
        </w:tc>
        <w:tc>
          <w:tcPr>
            <w:tcW w:w="850" w:type="dxa"/>
            <w:gridSpan w:val="3"/>
          </w:tcPr>
          <w:p w:rsidR="00FE049C" w:rsidRPr="00FC77D7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3441,3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  <w:proofErr w:type="spellEnd"/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579,9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889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6B54">
              <w:rPr>
                <w:rFonts w:ascii="Times New Roman" w:hAnsi="Times New Roman" w:cs="Times New Roman"/>
              </w:rPr>
              <w:t>0</w:t>
            </w:r>
            <w:r w:rsidR="001519A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1519AA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850" w:type="dxa"/>
            <w:gridSpan w:val="3"/>
          </w:tcPr>
          <w:p w:rsidR="00FE049C" w:rsidRPr="00FF647F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приятий </w:t>
            </w:r>
            <w:r w:rsidRPr="00FF647F">
              <w:rPr>
                <w:rFonts w:ascii="Times New Roman" w:hAnsi="Times New Roman" w:cs="Times New Roman"/>
              </w:rPr>
              <w:lastRenderedPageBreak/>
              <w:t>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1519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1519AA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  <w:r w:rsidR="00F264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75A5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6B54">
              <w:rPr>
                <w:rFonts w:ascii="Times New Roman" w:hAnsi="Times New Roman" w:cs="Times New Roman"/>
              </w:rPr>
              <w:t>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 w:rsidR="00F264E1">
              <w:rPr>
                <w:rFonts w:ascii="Times New Roman" w:hAnsi="Times New Roman" w:cs="Times New Roman"/>
              </w:rPr>
              <w:t>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B2C9D" w:rsidRDefault="009B2C9D" w:rsidP="009B2C9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9B2C9D" w:rsidRPr="009B2C9D" w:rsidRDefault="009B2C9D" w:rsidP="009B2C9D">
      <w:pPr>
        <w:ind w:left="360" w:firstLine="0"/>
      </w:pPr>
    </w:p>
    <w:p w:rsidR="009B2C9D" w:rsidRDefault="009B2C9D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A36D6E">
        <w:rPr>
          <w:rFonts w:ascii="Times New Roman" w:hAnsi="Times New Roman" w:cs="Times New Roman"/>
          <w:sz w:val="28"/>
          <w:szCs w:val="28"/>
        </w:rPr>
        <w:t>31772,7</w:t>
      </w:r>
      <w:r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B465AA" w:rsidRPr="00A8766F" w:rsidRDefault="001A028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B465AA" w:rsidRPr="00A8766F" w:rsidRDefault="00A36D6E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4349,9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465AA" w:rsidRPr="00094224" w:rsidTr="007338A4">
        <w:trPr>
          <w:trHeight w:val="296"/>
        </w:trPr>
        <w:tc>
          <w:tcPr>
            <w:tcW w:w="660" w:type="dxa"/>
          </w:tcPr>
          <w:p w:rsidR="00B465AA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B465AA" w:rsidRPr="00A8766F" w:rsidRDefault="00B465AA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0C731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7338A4" w:rsidRPr="00A8766F" w:rsidRDefault="000D21D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1262,4</w:t>
            </w:r>
          </w:p>
        </w:tc>
        <w:tc>
          <w:tcPr>
            <w:tcW w:w="1198" w:type="dxa"/>
            <w:gridSpan w:val="2"/>
          </w:tcPr>
          <w:p w:rsidR="007338A4" w:rsidRPr="00A8766F" w:rsidRDefault="00A36D6E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1271,2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28"/>
        </w:trPr>
        <w:tc>
          <w:tcPr>
            <w:tcW w:w="660" w:type="dxa"/>
          </w:tcPr>
          <w:p w:rsidR="007338A4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7338A4" w:rsidRPr="00A8766F" w:rsidRDefault="007338A4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338A4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7338A4" w:rsidRPr="00A8766F" w:rsidRDefault="000D21D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1015,2</w:t>
            </w:r>
          </w:p>
        </w:tc>
        <w:tc>
          <w:tcPr>
            <w:tcW w:w="1198" w:type="dxa"/>
            <w:gridSpan w:val="2"/>
          </w:tcPr>
          <w:p w:rsidR="007338A4" w:rsidRPr="00A8766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1139,7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A36D6E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>спытания 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7338A4" w:rsidRPr="00A8766F" w:rsidRDefault="008C27F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B93B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6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D251F" w:rsidRPr="00094224" w:rsidTr="007338A4">
        <w:tc>
          <w:tcPr>
            <w:tcW w:w="660" w:type="dxa"/>
          </w:tcPr>
          <w:p w:rsidR="000D251F" w:rsidRDefault="000D251F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0D251F" w:rsidRPr="00A8766F" w:rsidRDefault="000D251F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Видеопроектор</w:t>
            </w:r>
          </w:p>
        </w:tc>
        <w:tc>
          <w:tcPr>
            <w:tcW w:w="1291" w:type="dxa"/>
          </w:tcPr>
          <w:p w:rsidR="000D251F" w:rsidRPr="00A8766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D251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0D251F" w:rsidRPr="00A8766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:rsidR="000D251F" w:rsidRPr="00A8766F" w:rsidRDefault="000D251F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7296,4</w:t>
            </w:r>
          </w:p>
        </w:tc>
        <w:tc>
          <w:tcPr>
            <w:tcW w:w="1198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6711,4</w:t>
            </w:r>
          </w:p>
        </w:tc>
        <w:tc>
          <w:tcPr>
            <w:tcW w:w="1198" w:type="dxa"/>
            <w:gridSpan w:val="2"/>
          </w:tcPr>
          <w:p w:rsidR="00D4327C" w:rsidRPr="00A8766F" w:rsidRDefault="000D251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7134,7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078" w:type="dxa"/>
          </w:tcPr>
          <w:p w:rsidR="00D4327C" w:rsidRPr="008238EE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1F2A5B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D4327C" w:rsidRPr="008238EE" w:rsidRDefault="00D4327C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  <w:tc>
          <w:tcPr>
            <w:tcW w:w="1078" w:type="dxa"/>
          </w:tcPr>
          <w:p w:rsidR="00D4327C" w:rsidRPr="008238EE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652,9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1F2A5B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D4327C" w:rsidRPr="008238EE" w:rsidRDefault="00D4327C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078" w:type="dxa"/>
          </w:tcPr>
          <w:p w:rsidR="00D4327C" w:rsidRPr="008238EE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D4327C" w:rsidRPr="008238EE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851E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3584F" w:rsidRPr="00094224" w:rsidTr="007338A4">
        <w:tc>
          <w:tcPr>
            <w:tcW w:w="660" w:type="dxa"/>
          </w:tcPr>
          <w:p w:rsidR="00F3584F" w:rsidRDefault="00F3584F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558" w:type="dxa"/>
          </w:tcPr>
          <w:p w:rsidR="00F3584F" w:rsidRDefault="00F3584F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стеллажи для книг</w:t>
            </w:r>
          </w:p>
        </w:tc>
        <w:tc>
          <w:tcPr>
            <w:tcW w:w="1291" w:type="dxa"/>
          </w:tcPr>
          <w:p w:rsidR="00F3584F" w:rsidRPr="008238EE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3584F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3584F" w:rsidRDefault="00F3584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46" w:type="dxa"/>
            <w:gridSpan w:val="2"/>
          </w:tcPr>
          <w:p w:rsidR="00F3584F" w:rsidRPr="00A8766F" w:rsidRDefault="00F3584F" w:rsidP="00851E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D4327C" w:rsidRPr="009F6514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3060,1</w:t>
            </w:r>
          </w:p>
        </w:tc>
        <w:tc>
          <w:tcPr>
            <w:tcW w:w="1078" w:type="dxa"/>
          </w:tcPr>
          <w:p w:rsidR="00D4327C" w:rsidRPr="00B16270" w:rsidRDefault="00F3584F" w:rsidP="00F35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3441,3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259,9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078" w:type="dxa"/>
          </w:tcPr>
          <w:p w:rsidR="00D4327C" w:rsidRPr="00B0774D" w:rsidRDefault="006A540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851E7D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="00FF647F" w:rsidRPr="00FF647F">
        <w:rPr>
          <w:rFonts w:ascii="Times New Roman" w:hAnsi="Times New Roman" w:cs="Times New Roman"/>
          <w:sz w:val="28"/>
          <w:szCs w:val="28"/>
        </w:rPr>
        <w:t>т</w:t>
      </w:r>
      <w:r w:rsidR="00FF647F" w:rsidRPr="00FF647F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</w:t>
      </w:r>
      <w:r w:rsidRPr="00380094">
        <w:rPr>
          <w:rFonts w:ascii="Times New Roman" w:hAnsi="Times New Roman"/>
          <w:sz w:val="28"/>
          <w:szCs w:val="28"/>
        </w:rPr>
        <w:t>о</w:t>
      </w:r>
      <w:r w:rsidRPr="00380094">
        <w:rPr>
          <w:rFonts w:ascii="Times New Roman" w:hAnsi="Times New Roman"/>
          <w:sz w:val="28"/>
          <w:szCs w:val="28"/>
        </w:rPr>
        <w:t>вания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 xml:space="preserve">В рамках муниципальной программы меры правового регулирования не </w:t>
      </w:r>
      <w:r w:rsidRPr="00380094">
        <w:rPr>
          <w:rFonts w:ascii="Times New Roman" w:hAnsi="Times New Roman"/>
          <w:sz w:val="28"/>
          <w:szCs w:val="28"/>
        </w:rPr>
        <w:lastRenderedPageBreak/>
        <w:t>предусматриваются.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2" w:name="sub_10121"/>
      <w:bookmarkEnd w:id="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851E7D">
      <w:pPr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851E7D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четном году.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lastRenderedPageBreak/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598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тию.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851E7D">
      <w:pPr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>. По иным мероприятиям результаты реализации могут оцениват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 xml:space="preserve">ся наступление или </w:t>
      </w:r>
      <w:proofErr w:type="spellStart"/>
      <w:r w:rsidRPr="00804598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BC0B4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851E7D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8"/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851E7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lastRenderedPageBreak/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BC0B4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BC0B4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BC0B4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85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lastRenderedPageBreak/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61"/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х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пальной программы.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851E7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851E7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оценивае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>муле:</w:t>
      </w:r>
    </w:p>
    <w:bookmarkEnd w:id="18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19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>, составляет не менее 0,80.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lastRenderedPageBreak/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AF7C6B" w:rsidP="00BC0B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B48"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BC0B48">
        <w:rPr>
          <w:rFonts w:ascii="Times New Roman" w:hAnsi="Times New Roman"/>
          <w:sz w:val="28"/>
          <w:szCs w:val="28"/>
        </w:rPr>
        <w:t xml:space="preserve">муниципальной </w:t>
      </w:r>
      <w:r w:rsidR="00BC0B48"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="00BC0B48" w:rsidRPr="00A502BD">
        <w:rPr>
          <w:rFonts w:ascii="Times New Roman" w:hAnsi="Times New Roman"/>
          <w:sz w:val="28"/>
          <w:szCs w:val="28"/>
        </w:rPr>
        <w:t>и</w:t>
      </w:r>
      <w:r w:rsidR="00BC0B48" w:rsidRPr="00A502BD">
        <w:rPr>
          <w:rFonts w:ascii="Times New Roman" w:hAnsi="Times New Roman"/>
          <w:sz w:val="28"/>
          <w:szCs w:val="28"/>
        </w:rPr>
        <w:t>на</w:t>
      </w:r>
      <w:r w:rsidR="00BC0B48">
        <w:rPr>
          <w:rFonts w:ascii="Times New Roman" w:hAnsi="Times New Roman"/>
          <w:sz w:val="28"/>
          <w:szCs w:val="28"/>
        </w:rPr>
        <w:t xml:space="preserve">тор </w:t>
      </w:r>
      <w:r w:rsidR="00BC0B48" w:rsidRPr="00A502BD">
        <w:rPr>
          <w:rFonts w:ascii="Times New Roman" w:hAnsi="Times New Roman"/>
          <w:sz w:val="28"/>
          <w:szCs w:val="28"/>
        </w:rPr>
        <w:t xml:space="preserve">программы </w:t>
      </w:r>
      <w:r w:rsidR="00BC0B48">
        <w:rPr>
          <w:rFonts w:ascii="Times New Roman" w:hAnsi="Times New Roman"/>
          <w:sz w:val="28"/>
          <w:szCs w:val="28"/>
        </w:rPr>
        <w:t>–</w:t>
      </w:r>
      <w:r w:rsidR="00BC0B48" w:rsidRPr="00A50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0B48" w:rsidRPr="00BC0B4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0B48"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="00BC0B48" w:rsidRPr="00BC0B48">
        <w:rPr>
          <w:rFonts w:ascii="Times New Roman" w:hAnsi="Times New Roman" w:cs="Times New Roman"/>
          <w:sz w:val="28"/>
          <w:szCs w:val="28"/>
        </w:rPr>
        <w:t>д</w:t>
      </w:r>
      <w:r w:rsidR="00BC0B48"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 w:rsidR="00BC0B48"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FF647F" w:rsidP="00564578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851E7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7566F4" w:rsidRDefault="007566F4" w:rsidP="00851E7D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D728F3" w:rsidP="00851E7D">
      <w:pPr>
        <w:ind w:left="5600" w:hanging="1347"/>
        <w:jc w:val="left"/>
        <w:rPr>
          <w:rFonts w:ascii="Times New Roman" w:hAnsi="Times New Roman"/>
          <w:sz w:val="28"/>
          <w:szCs w:val="28"/>
        </w:rPr>
      </w:pPr>
      <w:r w:rsidRPr="00D728F3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851E7D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851E7D">
      <w:pPr>
        <w:ind w:left="5600" w:hanging="1347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1E7D" w:rsidRDefault="00A601C8" w:rsidP="00851E7D">
      <w:pPr>
        <w:pStyle w:val="21"/>
        <w:ind w:hanging="1347"/>
        <w:jc w:val="left"/>
        <w:rPr>
          <w:b w:val="0"/>
        </w:rPr>
      </w:pPr>
      <w:r>
        <w:rPr>
          <w:szCs w:val="28"/>
        </w:rPr>
        <w:t xml:space="preserve">                                                                  </w:t>
      </w:r>
      <w:r w:rsidR="00851E7D">
        <w:rPr>
          <w:szCs w:val="28"/>
        </w:rPr>
        <w:t xml:space="preserve">              </w:t>
      </w:r>
      <w:r w:rsidRPr="00475093">
        <w:rPr>
          <w:szCs w:val="28"/>
        </w:rPr>
        <w:t>«</w:t>
      </w:r>
      <w:r w:rsidR="00851E7D">
        <w:rPr>
          <w:b w:val="0"/>
        </w:rPr>
        <w:t>Развитие культуры</w:t>
      </w:r>
      <w:r w:rsidRPr="00FF647F">
        <w:rPr>
          <w:b w:val="0"/>
        </w:rPr>
        <w:t xml:space="preserve"> </w:t>
      </w:r>
    </w:p>
    <w:p w:rsidR="00851E7D" w:rsidRDefault="00A601C8" w:rsidP="00851E7D">
      <w:pPr>
        <w:pStyle w:val="21"/>
        <w:ind w:firstLine="4253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851E7D">
      <w:pPr>
        <w:pStyle w:val="21"/>
        <w:ind w:firstLine="4253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851E7D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1E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851E7D">
      <w:pPr>
        <w:ind w:left="5600" w:hanging="142"/>
        <w:jc w:val="left"/>
        <w:rPr>
          <w:rFonts w:ascii="Times New Roman" w:hAnsi="Times New Roman"/>
          <w:sz w:val="28"/>
          <w:szCs w:val="28"/>
        </w:rPr>
      </w:pPr>
    </w:p>
    <w:p w:rsidR="00A601C8" w:rsidRPr="00851E7D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  <w:r w:rsidRPr="00851E7D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851E7D" w:rsidRDefault="00A601C8" w:rsidP="00AF1793">
      <w:pPr>
        <w:pStyle w:val="21"/>
      </w:pPr>
      <w:r w:rsidRPr="00851E7D">
        <w:rPr>
          <w:szCs w:val="28"/>
        </w:rPr>
        <w:t>«</w:t>
      </w:r>
      <w:r w:rsidR="00AF1793" w:rsidRPr="00851E7D">
        <w:t>Развитие культуры  Старонижестеблиевского сельского поселения</w:t>
      </w:r>
    </w:p>
    <w:p w:rsidR="00A601C8" w:rsidRPr="00851E7D" w:rsidRDefault="00AF1793" w:rsidP="00AF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51E7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851E7D">
        <w:rPr>
          <w:rFonts w:ascii="Times New Roman" w:hAnsi="Times New Roman"/>
          <w:b/>
          <w:sz w:val="28"/>
          <w:szCs w:val="28"/>
        </w:rPr>
        <w:t>»</w:t>
      </w:r>
    </w:p>
    <w:p w:rsidR="00A601C8" w:rsidRPr="00851E7D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851E7D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51E7D">
        <w:rPr>
          <w:rFonts w:ascii="Times New Roman" w:hAnsi="Times New Roman"/>
          <w:b/>
          <w:sz w:val="28"/>
          <w:szCs w:val="28"/>
        </w:rPr>
        <w:t>ПАСПОРТ</w:t>
      </w:r>
    </w:p>
    <w:p w:rsidR="00851E7D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1E7D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851E7D">
        <w:rPr>
          <w:rFonts w:ascii="Times New Roman" w:hAnsi="Times New Roman"/>
          <w:b/>
          <w:sz w:val="28"/>
          <w:szCs w:val="28"/>
        </w:rPr>
        <w:t>«</w:t>
      </w:r>
      <w:r w:rsidR="00AF1793" w:rsidRPr="00851E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Старонижестеблиевского </w:t>
      </w:r>
    </w:p>
    <w:p w:rsidR="00A601C8" w:rsidRPr="00851E7D" w:rsidRDefault="00AF1793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51E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851E7D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BC4810" w:rsidRDefault="00BC4810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Директор МКУК ССП «Сельский дом культуры»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BB653E">
              <w:rPr>
                <w:rFonts w:ascii="Times New Roman" w:hAnsi="Times New Roman"/>
                <w:sz w:val="28"/>
                <w:szCs w:val="28"/>
              </w:rPr>
              <w:t>21142,5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041E4">
              <w:rPr>
                <w:rFonts w:ascii="Times New Roman" w:hAnsi="Times New Roman"/>
                <w:sz w:val="28"/>
                <w:szCs w:val="28"/>
              </w:rPr>
              <w:t>7296,4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564578">
              <w:rPr>
                <w:rFonts w:ascii="Times New Roman" w:hAnsi="Times New Roman"/>
                <w:sz w:val="28"/>
                <w:szCs w:val="28"/>
              </w:rPr>
              <w:t>6711,4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BB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BB653E">
              <w:rPr>
                <w:rFonts w:ascii="Times New Roman" w:hAnsi="Times New Roman"/>
                <w:sz w:val="28"/>
                <w:szCs w:val="28"/>
              </w:rPr>
              <w:t>7134,7</w:t>
            </w:r>
            <w:r w:rsidR="00AF6B68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A64FA3" w:rsidP="00851E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 муниципальных учреждений культуры, их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наполнилась новым содержанием.</w:t>
      </w:r>
    </w:p>
    <w:p w:rsidR="00A64FA3" w:rsidRDefault="00A64FA3" w:rsidP="00851E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какую-либо структуру общества, которая могла бы функционировать, не опираясь на культуру. Понятие культура очень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Pr="00AD7EEA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 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 районные  смотры - конкурсы,  фестивали   в   сфере   культуры  и  иску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ства. Совершенствуется     система    проведения   смотров -  конкурсов,   фе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A64FA3" w:rsidRDefault="00A64FA3" w:rsidP="00851E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качества, разнообразию  и  эффективности услуг в сфере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  <w:proofErr w:type="gramEnd"/>
    </w:p>
    <w:p w:rsidR="00A64FA3" w:rsidRDefault="00A64FA3" w:rsidP="00851E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A64FA3" w:rsidP="00851E7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Решение  вышеуказанных  проблем  возможно   только   программными методами перспективных 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EEA">
        <w:rPr>
          <w:rFonts w:ascii="Times New Roman" w:hAnsi="Times New Roman" w:cs="Times New Roman"/>
          <w:sz w:val="28"/>
          <w:szCs w:val="28"/>
        </w:rPr>
        <w:t xml:space="preserve"> значимых  проектов, концентрацией средств  на  приоритетных 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  развития   культуры   в  </w:t>
      </w:r>
      <w:r w:rsidR="000437AE">
        <w:rPr>
          <w:rFonts w:ascii="Times New Roman" w:hAnsi="Times New Roman" w:cs="Times New Roman"/>
          <w:sz w:val="28"/>
          <w:szCs w:val="28"/>
        </w:rPr>
        <w:t>Старониж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 Система подпрограммных мероприятий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851E7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37AE" w:rsidRDefault="000437AE" w:rsidP="008E6D16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сохранения культурного достояния,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права всех граждан на получение определенного перечня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сохранение культурного наследия казаков, проживаю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и популяризация самодеятельного народного творчества.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широких масс к занятиям творчеством, </w:t>
      </w:r>
    </w:p>
    <w:p w:rsidR="000437AE" w:rsidRPr="00A726F4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r w:rsidR="00101FB7">
        <w:rPr>
          <w:rFonts w:ascii="Times New Roman" w:hAnsi="Times New Roman" w:cs="Times New Roman"/>
          <w:sz w:val="28"/>
          <w:szCs w:val="28"/>
        </w:rPr>
        <w:t>Ст</w:t>
      </w:r>
      <w:r w:rsidR="00101FB7">
        <w:rPr>
          <w:rFonts w:ascii="Times New Roman" w:hAnsi="Times New Roman" w:cs="Times New Roman"/>
          <w:sz w:val="28"/>
          <w:szCs w:val="28"/>
        </w:rPr>
        <w:t>а</w:t>
      </w:r>
      <w:r w:rsidR="00101FB7">
        <w:rPr>
          <w:rFonts w:ascii="Times New Roman" w:hAnsi="Times New Roman" w:cs="Times New Roman"/>
          <w:sz w:val="28"/>
          <w:szCs w:val="28"/>
        </w:rPr>
        <w:t>ронижестеблиевском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развитие социального партнерства,</w:t>
      </w:r>
    </w:p>
    <w:p w:rsidR="000437AE" w:rsidRPr="00A726F4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расширения спектра платных услуг,</w:t>
      </w:r>
    </w:p>
    <w:p w:rsidR="000437AE" w:rsidRDefault="000437AE" w:rsidP="00851E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Pr="00A726F4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851E7D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0437AE">
        <w:rPr>
          <w:rFonts w:ascii="Times New Roman" w:hAnsi="Times New Roman" w:cs="Times New Roman"/>
          <w:sz w:val="28"/>
          <w:szCs w:val="28"/>
        </w:rPr>
        <w:t>-2020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1D7816" w:rsidRPr="00A8766F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4349,9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296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96048E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1262,4</w:t>
            </w:r>
          </w:p>
        </w:tc>
        <w:tc>
          <w:tcPr>
            <w:tcW w:w="1198" w:type="dxa"/>
            <w:gridSpan w:val="2"/>
          </w:tcPr>
          <w:p w:rsidR="001D7816" w:rsidRPr="00A8766F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1271,2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28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1015,2</w:t>
            </w:r>
          </w:p>
        </w:tc>
        <w:tc>
          <w:tcPr>
            <w:tcW w:w="1198" w:type="dxa"/>
            <w:gridSpan w:val="2"/>
          </w:tcPr>
          <w:p w:rsidR="001D7816" w:rsidRPr="00A8766F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1139,7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1D7816" w:rsidRPr="00A8766F" w:rsidRDefault="00BB469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D7816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Default="00FB3CB0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3558" w:type="dxa"/>
          </w:tcPr>
          <w:p w:rsidR="00D4327C" w:rsidRPr="00A8766F" w:rsidRDefault="00FB3CB0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Видеопроектор</w:t>
            </w:r>
          </w:p>
        </w:tc>
        <w:tc>
          <w:tcPr>
            <w:tcW w:w="1291" w:type="dxa"/>
          </w:tcPr>
          <w:p w:rsidR="00D4327C" w:rsidRPr="00A8766F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D4327C" w:rsidRDefault="00FB3CB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:rsidR="00D4327C" w:rsidRPr="00A8766F" w:rsidRDefault="00FB3CB0" w:rsidP="00851E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7296,4</w:t>
            </w:r>
          </w:p>
        </w:tc>
        <w:tc>
          <w:tcPr>
            <w:tcW w:w="1198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6711,4</w:t>
            </w:r>
          </w:p>
        </w:tc>
        <w:tc>
          <w:tcPr>
            <w:tcW w:w="1198" w:type="dxa"/>
            <w:gridSpan w:val="2"/>
          </w:tcPr>
          <w:p w:rsidR="00D4327C" w:rsidRPr="00A8766F" w:rsidRDefault="00FB3CB0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7134,7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9040E" w:rsidRDefault="00F9040E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привлечением  внебюджетных средств.</w:t>
      </w:r>
    </w:p>
    <w:p w:rsidR="00F9040E" w:rsidRDefault="00F9040E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 w:rsidR="000314CE">
        <w:rPr>
          <w:rFonts w:ascii="Times New Roman" w:hAnsi="Times New Roman"/>
          <w:sz w:val="28"/>
          <w:szCs w:val="28"/>
        </w:rPr>
        <w:t>21142,5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 по годам: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6048E">
        <w:rPr>
          <w:rFonts w:ascii="Times New Roman" w:hAnsi="Times New Roman" w:cs="Times New Roman"/>
          <w:sz w:val="28"/>
          <w:szCs w:val="28"/>
        </w:rPr>
        <w:t>7296,4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6711,4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314CE">
        <w:rPr>
          <w:rFonts w:ascii="Times New Roman" w:hAnsi="Times New Roman" w:cs="Times New Roman"/>
          <w:sz w:val="28"/>
          <w:szCs w:val="28"/>
        </w:rPr>
        <w:t>7134,7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F9040E" w:rsidRDefault="00F9040E" w:rsidP="00B546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 w:rsidR="00484CEC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176" w:rsidRDefault="00D31176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F9040E" w:rsidRPr="00A57030" w:rsidRDefault="00F9040E" w:rsidP="00851E7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851E7D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851E7D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851E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851E7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17770E" w:rsidRPr="00475093">
        <w:rPr>
          <w:rFonts w:ascii="Times New Roman" w:hAnsi="Times New Roman"/>
          <w:sz w:val="28"/>
          <w:szCs w:val="28"/>
        </w:rPr>
        <w:t>Заместитель гл</w:t>
      </w:r>
      <w:r w:rsidR="0017770E" w:rsidRPr="00475093">
        <w:rPr>
          <w:rFonts w:ascii="Times New Roman" w:hAnsi="Times New Roman"/>
          <w:sz w:val="28"/>
          <w:szCs w:val="28"/>
        </w:rPr>
        <w:t>а</w:t>
      </w:r>
      <w:r w:rsidR="0017770E" w:rsidRPr="00475093">
        <w:rPr>
          <w:rFonts w:ascii="Times New Roman" w:hAnsi="Times New Roman"/>
          <w:sz w:val="28"/>
          <w:szCs w:val="28"/>
        </w:rPr>
        <w:t xml:space="preserve">вы </w:t>
      </w:r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54656" w:rsidRDefault="00B54656" w:rsidP="00851E7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54656" w:rsidRDefault="0017770E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7566F4" w:rsidRPr="00851E7D" w:rsidRDefault="0017770E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культуры»                                   </w:t>
      </w:r>
      <w:r w:rsidR="004114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А.М.</w:t>
      </w:r>
      <w:r w:rsidR="0085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Гоголь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D728F3" w:rsidP="00851E7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28F3">
              <w:rPr>
                <w:rFonts w:cs="Calibri"/>
                <w:noProof/>
              </w:rPr>
              <w:pict>
                <v:rect id="_x0000_s1027" style="position:absolute;margin-left:236pt;margin-top:-27pt;width:17pt;height:18pt;z-index:251662336;mso-position-horizontal-relative:text;mso-position-vertical-relative:text" stroked="f"/>
              </w:pict>
            </w:r>
            <w:r w:rsidR="00851E7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41B8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941B84" w:rsidRPr="00475093" w:rsidRDefault="00941B84" w:rsidP="00851E7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51E7D" w:rsidRDefault="00941B84" w:rsidP="00851E7D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851E7D" w:rsidRDefault="00941B84" w:rsidP="00851E7D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сельского </w:t>
            </w:r>
          </w:p>
          <w:p w:rsidR="00941B84" w:rsidRPr="00FF647F" w:rsidRDefault="00941B84" w:rsidP="00851E7D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поселения</w:t>
            </w:r>
          </w:p>
          <w:p w:rsidR="00941B84" w:rsidRPr="00A601C8" w:rsidRDefault="00941B84" w:rsidP="00851E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851E7D" w:rsidRDefault="00941B84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851E7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851E7D" w:rsidRDefault="00941B84" w:rsidP="00941B84">
            <w:pPr>
              <w:jc w:val="center"/>
              <w:rPr>
                <w:b/>
                <w:sz w:val="28"/>
                <w:szCs w:val="28"/>
              </w:rPr>
            </w:pPr>
            <w:r w:rsidRPr="00851E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51E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851E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851E7D" w:rsidRDefault="00941B84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851E7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851E7D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851E7D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851E7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851E7D" w:rsidRDefault="00941B84" w:rsidP="00941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851E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Развитие библиотек Старонижестеблиевского сельского поселения Красноармейского района</w:t>
                  </w:r>
                  <w:r w:rsidRPr="00851E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851E7D" w:rsidRDefault="00941B84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851E7D" w:rsidRDefault="00941B84" w:rsidP="004D72FA">
            <w:pPr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D8785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-2020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0314CE">
              <w:rPr>
                <w:rFonts w:ascii="Times New Roman" w:hAnsi="Times New Roman"/>
                <w:sz w:val="28"/>
                <w:szCs w:val="28"/>
              </w:rPr>
              <w:t>9828,3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3326,9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8B3752">
              <w:rPr>
                <w:rFonts w:ascii="Times New Roman" w:hAnsi="Times New Roman"/>
                <w:sz w:val="28"/>
                <w:szCs w:val="28"/>
              </w:rPr>
              <w:t>3060,1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03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0314CE">
              <w:rPr>
                <w:rFonts w:ascii="Times New Roman" w:hAnsi="Times New Roman"/>
                <w:sz w:val="28"/>
                <w:szCs w:val="28"/>
              </w:rPr>
              <w:t>3441,3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пилась материально-техническая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</w:t>
      </w:r>
      <w:r w:rsidRPr="000867FA">
        <w:rPr>
          <w:color w:val="000000"/>
          <w:sz w:val="28"/>
          <w:szCs w:val="28"/>
        </w:rPr>
        <w:lastRenderedPageBreak/>
        <w:t>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размещения учреждения и его материально-техническое оснащение;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фонда, его полнота и </w:t>
      </w:r>
      <w:proofErr w:type="spellStart"/>
      <w:r>
        <w:rPr>
          <w:color w:val="000000"/>
          <w:sz w:val="28"/>
          <w:szCs w:val="28"/>
        </w:rPr>
        <w:t>обновляемость</w:t>
      </w:r>
      <w:proofErr w:type="spellEnd"/>
      <w:r>
        <w:rPr>
          <w:color w:val="000000"/>
          <w:sz w:val="28"/>
          <w:szCs w:val="28"/>
        </w:rPr>
        <w:t>;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специалистами и их квалификация;</w:t>
      </w:r>
    </w:p>
    <w:p w:rsidR="008E0791" w:rsidRDefault="008E0791" w:rsidP="00851E7D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 доступность учреждения.</w:t>
      </w:r>
    </w:p>
    <w:p w:rsidR="008E0791" w:rsidRDefault="008E0791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851E7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 xml:space="preserve">развитие и реализации культурного и духовного потенциала каждой </w:t>
      </w:r>
      <w:r w:rsidRPr="00A726F4">
        <w:rPr>
          <w:rFonts w:ascii="Times New Roman" w:hAnsi="Times New Roman" w:cs="Times New Roman"/>
          <w:sz w:val="28"/>
          <w:szCs w:val="28"/>
        </w:rPr>
        <w:lastRenderedPageBreak/>
        <w:t>личности;</w:t>
      </w: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Pr="00A726F4">
        <w:rPr>
          <w:rFonts w:ascii="Times New Roman" w:hAnsi="Times New Roman" w:cs="Times New Roman"/>
          <w:sz w:val="28"/>
          <w:szCs w:val="28"/>
        </w:rPr>
        <w:t>и</w:t>
      </w:r>
      <w:r w:rsidRPr="00A726F4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8E0791" w:rsidRPr="00A726F4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«Старонижестеблие</w:t>
      </w:r>
      <w:r w:rsidR="009F353A">
        <w:rPr>
          <w:rFonts w:ascii="Times New Roman" w:hAnsi="Times New Roman" w:cs="Times New Roman"/>
          <w:sz w:val="28"/>
          <w:szCs w:val="28"/>
        </w:rPr>
        <w:t>в</w:t>
      </w:r>
      <w:r w:rsidR="009F353A">
        <w:rPr>
          <w:rFonts w:ascii="Times New Roman" w:hAnsi="Times New Roman" w:cs="Times New Roman"/>
          <w:sz w:val="28"/>
          <w:szCs w:val="28"/>
        </w:rPr>
        <w:t>ская сельская библиотека».</w:t>
      </w:r>
    </w:p>
    <w:p w:rsidR="008E0791" w:rsidRDefault="009F353A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8E0791">
        <w:rPr>
          <w:rFonts w:ascii="Times New Roman" w:hAnsi="Times New Roman" w:cs="Times New Roman"/>
          <w:sz w:val="28"/>
          <w:szCs w:val="28"/>
        </w:rPr>
        <w:t>-2020 годы.</w:t>
      </w:r>
    </w:p>
    <w:p w:rsidR="008E0791" w:rsidRDefault="008E0791" w:rsidP="00851E7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078" w:type="dxa"/>
          </w:tcPr>
          <w:p w:rsidR="001D7816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  <w:tc>
          <w:tcPr>
            <w:tcW w:w="1078" w:type="dxa"/>
          </w:tcPr>
          <w:p w:rsidR="001D7816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652,9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078" w:type="dxa"/>
          </w:tcPr>
          <w:p w:rsidR="001D7816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1D7816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906387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B325C" w:rsidRPr="00B9707A" w:rsidTr="004D72FA">
        <w:tc>
          <w:tcPr>
            <w:tcW w:w="660" w:type="dxa"/>
          </w:tcPr>
          <w:p w:rsidR="00CB325C" w:rsidRDefault="00CB325C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558" w:type="dxa"/>
          </w:tcPr>
          <w:p w:rsidR="00CB325C" w:rsidRDefault="00CB325C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стеллажи для книг</w:t>
            </w:r>
          </w:p>
        </w:tc>
        <w:tc>
          <w:tcPr>
            <w:tcW w:w="1291" w:type="dxa"/>
          </w:tcPr>
          <w:p w:rsidR="00CB325C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CB325C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B325C" w:rsidRPr="008238EE" w:rsidRDefault="00CB325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46" w:type="dxa"/>
          </w:tcPr>
          <w:p w:rsidR="00CB325C" w:rsidRPr="00A8766F" w:rsidRDefault="00CB325C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1D7816" w:rsidRPr="009F6514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3060,1</w:t>
            </w:r>
          </w:p>
        </w:tc>
        <w:tc>
          <w:tcPr>
            <w:tcW w:w="1078" w:type="dxa"/>
          </w:tcPr>
          <w:p w:rsidR="001D7816" w:rsidRPr="00906387" w:rsidRDefault="00906387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614B1C" w:rsidRPr="00475093" w:rsidRDefault="00614B1C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CB325C">
        <w:rPr>
          <w:rFonts w:ascii="Times New Roman" w:hAnsi="Times New Roman"/>
          <w:sz w:val="28"/>
          <w:szCs w:val="28"/>
        </w:rPr>
        <w:t>9828,3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8D1681">
        <w:rPr>
          <w:rFonts w:ascii="Times New Roman" w:hAnsi="Times New Roman"/>
          <w:sz w:val="28"/>
          <w:szCs w:val="28"/>
        </w:rPr>
        <w:t>3326,9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B22A83">
        <w:rPr>
          <w:rFonts w:ascii="Times New Roman" w:hAnsi="Times New Roman"/>
          <w:sz w:val="28"/>
          <w:szCs w:val="28"/>
        </w:rPr>
        <w:t>3060,1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85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CB325C">
        <w:rPr>
          <w:rFonts w:ascii="Times New Roman" w:hAnsi="Times New Roman"/>
          <w:sz w:val="28"/>
          <w:szCs w:val="28"/>
        </w:rPr>
        <w:t>3441,3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Pr="00975A2B" w:rsidRDefault="00614B1C" w:rsidP="00851E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>-2020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CA4B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614B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CA4B7F" w:rsidRDefault="00614B1C" w:rsidP="00A57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75A2B" w:rsidRDefault="00975A2B" w:rsidP="00975A2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A2B" w:rsidRDefault="00CA4B7F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975A2B" w:rsidRDefault="00CA4B7F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«Старонижестеблиевская</w:t>
      </w:r>
    </w:p>
    <w:p w:rsidR="00133C7C" w:rsidRDefault="00A175EB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B7F">
        <w:rPr>
          <w:rFonts w:ascii="Times New Roman" w:hAnsi="Times New Roman" w:cs="Times New Roman"/>
          <w:sz w:val="28"/>
          <w:szCs w:val="28"/>
        </w:rPr>
        <w:t xml:space="preserve">ельская библиотека»                                                 </w:t>
      </w:r>
      <w:r w:rsidR="00975A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3681">
        <w:rPr>
          <w:rFonts w:ascii="Times New Roman" w:hAnsi="Times New Roman" w:cs="Times New Roman"/>
          <w:sz w:val="28"/>
          <w:szCs w:val="28"/>
        </w:rPr>
        <w:t>Л.А.</w:t>
      </w:r>
      <w:r w:rsidR="00851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681">
        <w:rPr>
          <w:rFonts w:ascii="Times New Roman" w:hAnsi="Times New Roman" w:cs="Times New Roman"/>
          <w:sz w:val="28"/>
          <w:szCs w:val="28"/>
        </w:rPr>
        <w:t>Крутофал</w:t>
      </w:r>
      <w:proofErr w:type="spellEnd"/>
      <w:r w:rsidR="0041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7C" w:rsidRDefault="00133C7C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3D0" w:rsidRDefault="004243D0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D728F3" w:rsidP="00851E7D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28F3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851E7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D72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72FA" w:rsidRPr="00475093" w:rsidRDefault="004D72FA" w:rsidP="00851E7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51E7D" w:rsidRDefault="004D72FA" w:rsidP="00851E7D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851E7D" w:rsidRDefault="004D72FA" w:rsidP="00851E7D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851E7D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601C8" w:rsidRDefault="004D72FA" w:rsidP="00851E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4D7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4D72F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851E7D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851E7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851E7D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1E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851E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851E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851E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851E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851E7D" w:rsidRDefault="004D72FA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851E7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851E7D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851E7D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851E7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851E7D" w:rsidRDefault="004D72FA" w:rsidP="004D72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1E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851E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851E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851E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851E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4D72FA" w:rsidRPr="00851E7D" w:rsidRDefault="004D72FA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D72FA" w:rsidRPr="00851E7D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финансовым вопросам администрации Старониж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4D72F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2018-2020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CB325C">
              <w:rPr>
                <w:rFonts w:ascii="Times New Roman" w:hAnsi="Times New Roman"/>
                <w:sz w:val="28"/>
                <w:szCs w:val="28"/>
              </w:rPr>
              <w:t>801,9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96048E">
              <w:rPr>
                <w:rFonts w:ascii="Times New Roman" w:hAnsi="Times New Roman"/>
                <w:sz w:val="28"/>
                <w:szCs w:val="28"/>
              </w:rPr>
              <w:t>259,9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C95D6F">
              <w:rPr>
                <w:rFonts w:ascii="Times New Roman" w:hAnsi="Times New Roman"/>
                <w:sz w:val="28"/>
                <w:szCs w:val="28"/>
              </w:rPr>
              <w:t>392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CB325C">
              <w:rPr>
                <w:rFonts w:ascii="Times New Roman" w:hAnsi="Times New Roman"/>
                <w:sz w:val="28"/>
                <w:szCs w:val="28"/>
              </w:rPr>
              <w:t>1</w:t>
            </w:r>
            <w:r w:rsidR="00A21DE9">
              <w:rPr>
                <w:rFonts w:ascii="Times New Roman" w:hAnsi="Times New Roman"/>
                <w:sz w:val="28"/>
                <w:szCs w:val="28"/>
              </w:rPr>
              <w:t>5</w:t>
            </w:r>
            <w:r w:rsidR="008201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Безусловный вклад в завоевание Победы внесло и 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 сельское поселение. Жители станицы, принимавшие  участие в Великой Отечественной войне поименно занесены в Книгу Памяти станицы Старониж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в патриотическом и героическом примере нуждается подрастающее поколение, которому предстоит решать стоящие перед страной сложные задачи.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32741E" w:rsidRDefault="00DA3D1F" w:rsidP="00DA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подпрограмме занимают мероприятия по чествованию от имени администрации Старонижестеблиевского сельского поселения извес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и почетных жителей станицы, внесших значительный вклад в развитие Старонижестеблиевского сельского поселения.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4174A9" w:rsidRDefault="004174A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4174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4174A9" w:rsidRDefault="004174A9" w:rsidP="004174A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4174A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716441">
        <w:rPr>
          <w:bdr w:val="none" w:sz="0" w:space="0" w:color="auto" w:frame="1"/>
        </w:rPr>
        <w:tab/>
      </w: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2018</w:t>
      </w:r>
      <w:r w:rsidRPr="00716441">
        <w:rPr>
          <w:sz w:val="28"/>
          <w:szCs w:val="28"/>
        </w:rPr>
        <w:t xml:space="preserve">-2020 годы. </w:t>
      </w:r>
    </w:p>
    <w:p w:rsidR="001069D2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399" w:rsidRPr="00716441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069D2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проведения праздничных дней и памятных дат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F4399" w:rsidRDefault="00DF4399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Pr="009F353A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lastRenderedPageBreak/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C95D6F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C95D6F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D1681">
              <w:rPr>
                <w:rFonts w:ascii="Times New Roman" w:hAnsi="Times New Roman"/>
                <w:sz w:val="24"/>
                <w:szCs w:val="24"/>
              </w:rPr>
              <w:t>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CB325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A21DE9">
        <w:rPr>
          <w:rFonts w:ascii="Times New Roman" w:hAnsi="Times New Roman"/>
          <w:sz w:val="28"/>
          <w:szCs w:val="28"/>
        </w:rPr>
        <w:t>901,9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CB325C">
        <w:rPr>
          <w:rFonts w:ascii="Times New Roman" w:hAnsi="Times New Roman"/>
          <w:sz w:val="28"/>
          <w:szCs w:val="28"/>
        </w:rPr>
        <w:t>801,9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96048E">
        <w:rPr>
          <w:rFonts w:ascii="Times New Roman" w:hAnsi="Times New Roman"/>
          <w:sz w:val="28"/>
          <w:szCs w:val="28"/>
        </w:rPr>
        <w:t>259,9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644C37">
        <w:rPr>
          <w:rFonts w:ascii="Times New Roman" w:hAnsi="Times New Roman"/>
          <w:sz w:val="28"/>
          <w:szCs w:val="28"/>
        </w:rPr>
        <w:t>392,0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CB325C">
        <w:rPr>
          <w:rFonts w:ascii="Times New Roman" w:hAnsi="Times New Roman"/>
          <w:sz w:val="28"/>
          <w:szCs w:val="28"/>
        </w:rPr>
        <w:t>150,0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851E7D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DF4399" w:rsidRDefault="001069D2" w:rsidP="00DF4399">
      <w:pPr>
        <w:pStyle w:val="af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DF4399" w:rsidRDefault="00DF4399" w:rsidP="00DF4399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</w:p>
    <w:p w:rsidR="00DF4399" w:rsidRPr="00A57030" w:rsidRDefault="00851E7D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1069D2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е:</w:t>
      </w:r>
      <w:r w:rsidR="0010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Default="001069D2" w:rsidP="001069D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>
        <w:rPr>
          <w:spacing w:val="2"/>
          <w:sz w:val="28"/>
          <w:szCs w:val="28"/>
        </w:rPr>
        <w:t xml:space="preserve">средства из местного бюджета. 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 сельского поселения.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финансовым вопросам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C52BA5">
      <w:headerReference w:type="default" r:id="rId18"/>
      <w:footerReference w:type="default" r:id="rId19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49" w:rsidRDefault="00307049" w:rsidP="00B809E4">
      <w:r>
        <w:separator/>
      </w:r>
    </w:p>
  </w:endnote>
  <w:endnote w:type="continuationSeparator" w:id="0">
    <w:p w:rsidR="00307049" w:rsidRDefault="00307049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D" w:rsidRDefault="00851E7D">
    <w:pPr>
      <w:pStyle w:val="af0"/>
      <w:jc w:val="center"/>
    </w:pPr>
  </w:p>
  <w:p w:rsidR="00851E7D" w:rsidRDefault="00851E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49" w:rsidRDefault="00307049" w:rsidP="00B809E4">
      <w:r>
        <w:separator/>
      </w:r>
    </w:p>
  </w:footnote>
  <w:footnote w:type="continuationSeparator" w:id="0">
    <w:p w:rsidR="00307049" w:rsidRDefault="00307049" w:rsidP="00B8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D" w:rsidRDefault="00851E7D" w:rsidP="00F769CD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314CE"/>
    <w:rsid w:val="000437AE"/>
    <w:rsid w:val="000465EB"/>
    <w:rsid w:val="00050386"/>
    <w:rsid w:val="000512CB"/>
    <w:rsid w:val="000559C4"/>
    <w:rsid w:val="00056B54"/>
    <w:rsid w:val="00072D32"/>
    <w:rsid w:val="00084E52"/>
    <w:rsid w:val="000860E8"/>
    <w:rsid w:val="00091A7E"/>
    <w:rsid w:val="000C7319"/>
    <w:rsid w:val="000D21D7"/>
    <w:rsid w:val="000D251F"/>
    <w:rsid w:val="000D3D79"/>
    <w:rsid w:val="000D45C3"/>
    <w:rsid w:val="000E0379"/>
    <w:rsid w:val="000F3EDC"/>
    <w:rsid w:val="00101FB7"/>
    <w:rsid w:val="00104546"/>
    <w:rsid w:val="001069D2"/>
    <w:rsid w:val="00112A4F"/>
    <w:rsid w:val="00115D5E"/>
    <w:rsid w:val="00117720"/>
    <w:rsid w:val="0013009A"/>
    <w:rsid w:val="00130EB3"/>
    <w:rsid w:val="00133C7C"/>
    <w:rsid w:val="001519AA"/>
    <w:rsid w:val="00163090"/>
    <w:rsid w:val="001647D4"/>
    <w:rsid w:val="00164F5A"/>
    <w:rsid w:val="0017770E"/>
    <w:rsid w:val="0018098D"/>
    <w:rsid w:val="00186282"/>
    <w:rsid w:val="0019138F"/>
    <w:rsid w:val="00192124"/>
    <w:rsid w:val="001935C2"/>
    <w:rsid w:val="001951F1"/>
    <w:rsid w:val="001A0288"/>
    <w:rsid w:val="001A68D7"/>
    <w:rsid w:val="001B5AD9"/>
    <w:rsid w:val="001D3CF8"/>
    <w:rsid w:val="001D7816"/>
    <w:rsid w:val="001F2A5B"/>
    <w:rsid w:val="00204586"/>
    <w:rsid w:val="00216AC9"/>
    <w:rsid w:val="002346F0"/>
    <w:rsid w:val="002354B6"/>
    <w:rsid w:val="00236C94"/>
    <w:rsid w:val="00255A73"/>
    <w:rsid w:val="002568C9"/>
    <w:rsid w:val="002862AC"/>
    <w:rsid w:val="00296993"/>
    <w:rsid w:val="00297B82"/>
    <w:rsid w:val="002A3949"/>
    <w:rsid w:val="002B3232"/>
    <w:rsid w:val="002C0DA7"/>
    <w:rsid w:val="002C1D9B"/>
    <w:rsid w:val="002C4998"/>
    <w:rsid w:val="002F132C"/>
    <w:rsid w:val="00307049"/>
    <w:rsid w:val="0031393F"/>
    <w:rsid w:val="00322C27"/>
    <w:rsid w:val="00323163"/>
    <w:rsid w:val="00331166"/>
    <w:rsid w:val="00333256"/>
    <w:rsid w:val="00361972"/>
    <w:rsid w:val="00367BC4"/>
    <w:rsid w:val="00375A51"/>
    <w:rsid w:val="00376414"/>
    <w:rsid w:val="003809F6"/>
    <w:rsid w:val="00383C1F"/>
    <w:rsid w:val="00394748"/>
    <w:rsid w:val="003965EA"/>
    <w:rsid w:val="003A5402"/>
    <w:rsid w:val="003A7418"/>
    <w:rsid w:val="003D2B8B"/>
    <w:rsid w:val="003D72A9"/>
    <w:rsid w:val="003D7703"/>
    <w:rsid w:val="003E6CAD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634B1"/>
    <w:rsid w:val="0048213E"/>
    <w:rsid w:val="00484CEC"/>
    <w:rsid w:val="00486D15"/>
    <w:rsid w:val="00487F84"/>
    <w:rsid w:val="0049199F"/>
    <w:rsid w:val="0049348D"/>
    <w:rsid w:val="004A550F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4172"/>
    <w:rsid w:val="005041E4"/>
    <w:rsid w:val="00507A64"/>
    <w:rsid w:val="005122E4"/>
    <w:rsid w:val="005223AD"/>
    <w:rsid w:val="00531530"/>
    <w:rsid w:val="0054544E"/>
    <w:rsid w:val="0055014D"/>
    <w:rsid w:val="00564578"/>
    <w:rsid w:val="005653DF"/>
    <w:rsid w:val="005742A1"/>
    <w:rsid w:val="00592DF1"/>
    <w:rsid w:val="005A0711"/>
    <w:rsid w:val="005A1D4A"/>
    <w:rsid w:val="005B1BCF"/>
    <w:rsid w:val="005C47D2"/>
    <w:rsid w:val="005C4FFB"/>
    <w:rsid w:val="005D47F1"/>
    <w:rsid w:val="005D5551"/>
    <w:rsid w:val="005E4338"/>
    <w:rsid w:val="00603BC6"/>
    <w:rsid w:val="00614B1C"/>
    <w:rsid w:val="00632111"/>
    <w:rsid w:val="00637812"/>
    <w:rsid w:val="00637B12"/>
    <w:rsid w:val="00644C37"/>
    <w:rsid w:val="00647879"/>
    <w:rsid w:val="00655F43"/>
    <w:rsid w:val="00661909"/>
    <w:rsid w:val="00665721"/>
    <w:rsid w:val="006856DA"/>
    <w:rsid w:val="00686370"/>
    <w:rsid w:val="00687332"/>
    <w:rsid w:val="0069283C"/>
    <w:rsid w:val="0069361E"/>
    <w:rsid w:val="006A540F"/>
    <w:rsid w:val="006B2352"/>
    <w:rsid w:val="006C7B39"/>
    <w:rsid w:val="006D0195"/>
    <w:rsid w:val="006D3BB7"/>
    <w:rsid w:val="006E503A"/>
    <w:rsid w:val="006E63C2"/>
    <w:rsid w:val="0070754C"/>
    <w:rsid w:val="00712892"/>
    <w:rsid w:val="007131E4"/>
    <w:rsid w:val="007139AA"/>
    <w:rsid w:val="00724415"/>
    <w:rsid w:val="007338A4"/>
    <w:rsid w:val="00736024"/>
    <w:rsid w:val="00737D65"/>
    <w:rsid w:val="00752409"/>
    <w:rsid w:val="007536BD"/>
    <w:rsid w:val="0075443F"/>
    <w:rsid w:val="007566F4"/>
    <w:rsid w:val="00761538"/>
    <w:rsid w:val="0076283E"/>
    <w:rsid w:val="00764D8E"/>
    <w:rsid w:val="00773F0D"/>
    <w:rsid w:val="0078274E"/>
    <w:rsid w:val="007B2BE9"/>
    <w:rsid w:val="007C1959"/>
    <w:rsid w:val="007C45EE"/>
    <w:rsid w:val="007C538D"/>
    <w:rsid w:val="007D3C98"/>
    <w:rsid w:val="007F4426"/>
    <w:rsid w:val="008058BA"/>
    <w:rsid w:val="0082012A"/>
    <w:rsid w:val="008238EE"/>
    <w:rsid w:val="00830410"/>
    <w:rsid w:val="008368EE"/>
    <w:rsid w:val="00842D17"/>
    <w:rsid w:val="00850877"/>
    <w:rsid w:val="00851E7D"/>
    <w:rsid w:val="008557B4"/>
    <w:rsid w:val="00857EDD"/>
    <w:rsid w:val="008633F2"/>
    <w:rsid w:val="00863476"/>
    <w:rsid w:val="008649DB"/>
    <w:rsid w:val="00871D2A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C154C"/>
    <w:rsid w:val="008C27FB"/>
    <w:rsid w:val="008C58A2"/>
    <w:rsid w:val="008D1681"/>
    <w:rsid w:val="008D775A"/>
    <w:rsid w:val="008E0791"/>
    <w:rsid w:val="008E6D16"/>
    <w:rsid w:val="008E79A5"/>
    <w:rsid w:val="008F306F"/>
    <w:rsid w:val="008F553F"/>
    <w:rsid w:val="008F6CFF"/>
    <w:rsid w:val="0090035B"/>
    <w:rsid w:val="00906387"/>
    <w:rsid w:val="00940E9D"/>
    <w:rsid w:val="00941B84"/>
    <w:rsid w:val="00954616"/>
    <w:rsid w:val="00955D1E"/>
    <w:rsid w:val="0096048E"/>
    <w:rsid w:val="0096181C"/>
    <w:rsid w:val="009622EA"/>
    <w:rsid w:val="009676B7"/>
    <w:rsid w:val="00973E80"/>
    <w:rsid w:val="00975A2B"/>
    <w:rsid w:val="0099608D"/>
    <w:rsid w:val="00997F6B"/>
    <w:rsid w:val="009B2C9D"/>
    <w:rsid w:val="009B4B7E"/>
    <w:rsid w:val="009C720E"/>
    <w:rsid w:val="009E2755"/>
    <w:rsid w:val="009F1F39"/>
    <w:rsid w:val="009F353A"/>
    <w:rsid w:val="00A03545"/>
    <w:rsid w:val="00A0461E"/>
    <w:rsid w:val="00A175EB"/>
    <w:rsid w:val="00A21DE9"/>
    <w:rsid w:val="00A32E92"/>
    <w:rsid w:val="00A36402"/>
    <w:rsid w:val="00A36D6E"/>
    <w:rsid w:val="00A4260F"/>
    <w:rsid w:val="00A50973"/>
    <w:rsid w:val="00A57030"/>
    <w:rsid w:val="00A601C8"/>
    <w:rsid w:val="00A6234F"/>
    <w:rsid w:val="00A64FA3"/>
    <w:rsid w:val="00A80635"/>
    <w:rsid w:val="00A8766F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D1"/>
    <w:rsid w:val="00B22A83"/>
    <w:rsid w:val="00B430C0"/>
    <w:rsid w:val="00B44160"/>
    <w:rsid w:val="00B44231"/>
    <w:rsid w:val="00B44C35"/>
    <w:rsid w:val="00B465AA"/>
    <w:rsid w:val="00B54656"/>
    <w:rsid w:val="00B6268E"/>
    <w:rsid w:val="00B721E3"/>
    <w:rsid w:val="00B747C0"/>
    <w:rsid w:val="00B809E4"/>
    <w:rsid w:val="00B93B10"/>
    <w:rsid w:val="00B95EA7"/>
    <w:rsid w:val="00B96D98"/>
    <w:rsid w:val="00BB469C"/>
    <w:rsid w:val="00BB653E"/>
    <w:rsid w:val="00BC0B48"/>
    <w:rsid w:val="00BC3137"/>
    <w:rsid w:val="00BC4810"/>
    <w:rsid w:val="00BC7B68"/>
    <w:rsid w:val="00BD046D"/>
    <w:rsid w:val="00BD5AC5"/>
    <w:rsid w:val="00BD6AAD"/>
    <w:rsid w:val="00BE24DE"/>
    <w:rsid w:val="00BE6145"/>
    <w:rsid w:val="00C03275"/>
    <w:rsid w:val="00C04BF4"/>
    <w:rsid w:val="00C1004A"/>
    <w:rsid w:val="00C120B5"/>
    <w:rsid w:val="00C30B31"/>
    <w:rsid w:val="00C32FEB"/>
    <w:rsid w:val="00C34B9C"/>
    <w:rsid w:val="00C4789E"/>
    <w:rsid w:val="00C5194B"/>
    <w:rsid w:val="00C52BA5"/>
    <w:rsid w:val="00C70BB5"/>
    <w:rsid w:val="00C737CC"/>
    <w:rsid w:val="00C77A9D"/>
    <w:rsid w:val="00C8374D"/>
    <w:rsid w:val="00C85A03"/>
    <w:rsid w:val="00C94985"/>
    <w:rsid w:val="00C95D6F"/>
    <w:rsid w:val="00CA25A2"/>
    <w:rsid w:val="00CA3AC8"/>
    <w:rsid w:val="00CA4B7F"/>
    <w:rsid w:val="00CB325C"/>
    <w:rsid w:val="00CB3A0A"/>
    <w:rsid w:val="00CB512C"/>
    <w:rsid w:val="00CB6E5D"/>
    <w:rsid w:val="00CB71C6"/>
    <w:rsid w:val="00CE03BE"/>
    <w:rsid w:val="00CE4CFC"/>
    <w:rsid w:val="00CE590C"/>
    <w:rsid w:val="00D01EB9"/>
    <w:rsid w:val="00D01F4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53EA7"/>
    <w:rsid w:val="00D56A1E"/>
    <w:rsid w:val="00D6034D"/>
    <w:rsid w:val="00D728F3"/>
    <w:rsid w:val="00D75BE8"/>
    <w:rsid w:val="00D76F41"/>
    <w:rsid w:val="00D87856"/>
    <w:rsid w:val="00D91C10"/>
    <w:rsid w:val="00D942AD"/>
    <w:rsid w:val="00DA3D1F"/>
    <w:rsid w:val="00DA47D4"/>
    <w:rsid w:val="00DB695C"/>
    <w:rsid w:val="00DC0EA9"/>
    <w:rsid w:val="00DC2BB9"/>
    <w:rsid w:val="00DF4399"/>
    <w:rsid w:val="00DF6B66"/>
    <w:rsid w:val="00E27C51"/>
    <w:rsid w:val="00E33AA6"/>
    <w:rsid w:val="00E47698"/>
    <w:rsid w:val="00E47F2D"/>
    <w:rsid w:val="00E548D0"/>
    <w:rsid w:val="00E6052E"/>
    <w:rsid w:val="00E65C65"/>
    <w:rsid w:val="00E67795"/>
    <w:rsid w:val="00E86DC8"/>
    <w:rsid w:val="00EA4876"/>
    <w:rsid w:val="00EA790F"/>
    <w:rsid w:val="00EB3A63"/>
    <w:rsid w:val="00EB5DF2"/>
    <w:rsid w:val="00EC10B9"/>
    <w:rsid w:val="00EC49B2"/>
    <w:rsid w:val="00ED17DC"/>
    <w:rsid w:val="00EE01ED"/>
    <w:rsid w:val="00EE3E66"/>
    <w:rsid w:val="00EE7D30"/>
    <w:rsid w:val="00EF42AC"/>
    <w:rsid w:val="00F116D0"/>
    <w:rsid w:val="00F12B63"/>
    <w:rsid w:val="00F176EB"/>
    <w:rsid w:val="00F264E1"/>
    <w:rsid w:val="00F3584F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4C14"/>
    <w:rsid w:val="00FB3CB0"/>
    <w:rsid w:val="00FB6392"/>
    <w:rsid w:val="00FC5B3B"/>
    <w:rsid w:val="00FC77D7"/>
    <w:rsid w:val="00FE049C"/>
    <w:rsid w:val="00FE080C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8795-7B77-4F6F-9CDE-6231E1A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9629</Words>
  <Characters>54888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65</cp:revision>
  <cp:lastPrinted>2020-12-30T07:01:00Z</cp:lastPrinted>
  <dcterms:created xsi:type="dcterms:W3CDTF">2018-12-25T09:56:00Z</dcterms:created>
  <dcterms:modified xsi:type="dcterms:W3CDTF">2020-12-30T07:17:00Z</dcterms:modified>
</cp:coreProperties>
</file>