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A70CEA" w:rsidRDefault="00B47553" w:rsidP="005954C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A70CEA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A70CEA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 w:rsidRPr="00A70C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CE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ПРОЕКТ</w:t>
            </w:r>
          </w:p>
        </w:tc>
      </w:tr>
      <w:tr w:rsidR="00D942AD" w:rsidRPr="00A70CEA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A70CEA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A70CEA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A70CEA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A70CEA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A70CEA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A70CEA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Cs/>
                <w:sz w:val="28"/>
                <w:szCs w:val="28"/>
              </w:rPr>
              <w:t>«______»_____2021</w:t>
            </w:r>
            <w:r w:rsidR="006409B2" w:rsidRPr="00A7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6973" w:rsidRPr="00A70CE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A70CEA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bCs/>
                <w:sz w:val="28"/>
                <w:szCs w:val="28"/>
              </w:rPr>
              <w:t>№ _________</w:t>
            </w:r>
          </w:p>
        </w:tc>
      </w:tr>
      <w:tr w:rsidR="00D942AD" w:rsidRPr="00A70CEA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A70CEA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станица Старонижестеблиевская</w:t>
            </w:r>
          </w:p>
        </w:tc>
      </w:tr>
    </w:tbl>
    <w:p w:rsidR="00AC2228" w:rsidRPr="00A70CE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C1" w:rsidRPr="00A70CEA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C52A58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участия представителей </w:t>
      </w: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в органах управления автономной</w:t>
      </w:r>
      <w:r w:rsidR="00C5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CEA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70CEA">
          <w:rPr>
            <w:rFonts w:ascii="Times New Roman" w:hAnsi="Times New Roman" w:cs="Times New Roman"/>
            <w:sz w:val="28"/>
            <w:szCs w:val="28"/>
          </w:rPr>
          <w:t>пунктом 5 статьи 10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постановляю: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A70C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участия представителей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 (приложение № 1).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2. Утвердить Форму отчета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органе управления автономной некоммерческой организации (приложение № 2).</w:t>
      </w:r>
    </w:p>
    <w:p w:rsidR="00B47553" w:rsidRPr="00A70CEA" w:rsidRDefault="00B47553" w:rsidP="00B41CF2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A70CEA"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A70CEA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A70CEA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A70CEA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Pr="00A70CEA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B47553" w:rsidRPr="00A70CEA" w:rsidRDefault="00B47553" w:rsidP="00B41CF2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70CEA">
        <w:rPr>
          <w:rFonts w:ascii="Times New Roman" w:hAnsi="Times New Roman" w:cs="Times New Roman"/>
          <w:kern w:val="1"/>
          <w:sz w:val="28"/>
          <w:szCs w:val="28"/>
        </w:rPr>
        <w:t>3. Начальнику</w:t>
      </w:r>
      <w:r w:rsidR="00B41CF2" w:rsidRPr="00A70CEA">
        <w:rPr>
          <w:rFonts w:ascii="Times New Roman" w:hAnsi="Times New Roman" w:cs="Times New Roman"/>
          <w:kern w:val="1"/>
          <w:sz w:val="28"/>
          <w:szCs w:val="28"/>
        </w:rPr>
        <w:t xml:space="preserve"> общего отдела </w:t>
      </w:r>
      <w:r w:rsidRPr="00A70CEA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Pr="00A70CEA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A70CEA">
        <w:rPr>
          <w:rFonts w:ascii="Times New Roman" w:hAnsi="Times New Roman" w:cs="Times New Roman"/>
          <w:kern w:val="1"/>
          <w:sz w:val="28"/>
          <w:szCs w:val="28"/>
        </w:rPr>
        <w:t>Супрун Н.В.</w:t>
      </w:r>
      <w:r w:rsidRPr="00A70CEA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A70CE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A70CEA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A70CEA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03B4D" w:rsidRPr="00A70CE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A70C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A70CEA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A70CEA">
        <w:rPr>
          <w:rFonts w:ascii="Times New Roman" w:hAnsi="Times New Roman" w:cs="Times New Roman"/>
          <w:sz w:val="28"/>
          <w:szCs w:val="28"/>
        </w:rPr>
        <w:t>v</w:t>
      </w:r>
      <w:r w:rsidR="00D03B4D" w:rsidRPr="00A70CEA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A70C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A70C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A70CEA">
        <w:rPr>
          <w:rFonts w:ascii="Times New Roman" w:hAnsi="Times New Roman" w:cs="Times New Roman"/>
          <w:sz w:val="28"/>
          <w:szCs w:val="28"/>
        </w:rPr>
        <w:t xml:space="preserve"> </w:t>
      </w:r>
      <w:r w:rsidRPr="00A70CE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47553" w:rsidRPr="00A70CEA" w:rsidRDefault="00B47553" w:rsidP="00B41CF2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A70CEA">
        <w:rPr>
          <w:rFonts w:ascii="Times New Roman" w:hAnsi="Times New Roman" w:cs="Times New Roman"/>
          <w:kern w:val="1"/>
          <w:sz w:val="28"/>
          <w:szCs w:val="28"/>
        </w:rPr>
        <w:t>4. Настоящее постановление вступает в силу после обнародования.</w:t>
      </w:r>
    </w:p>
    <w:p w:rsidR="00B47553" w:rsidRDefault="00B47553" w:rsidP="00E5482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CEA" w:rsidRDefault="00A70CEA" w:rsidP="00E5482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CEA" w:rsidRPr="00A70CEA" w:rsidRDefault="00A70CEA" w:rsidP="00E5482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7553" w:rsidRPr="00A70CEA" w:rsidRDefault="00B47553" w:rsidP="00B41CF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47553" w:rsidRPr="00A70CEA" w:rsidRDefault="00B47553" w:rsidP="00B41CF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E54820" w:rsidRPr="00A70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7553" w:rsidRPr="00A70CEA" w:rsidRDefault="00B47553" w:rsidP="00B41CF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1CF2" w:rsidRPr="00A70CE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70CEA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A70CEA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A70CEA" w:rsidRDefault="00A70CEA" w:rsidP="00A70CE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CEA" w:rsidRPr="00A70CEA" w:rsidRDefault="00A70CEA" w:rsidP="00A70CE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1CF2" w:rsidRPr="00A70CEA" w:rsidRDefault="00B47553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B41CF2" w:rsidRPr="00A70CEA" w:rsidRDefault="00A70CEA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</w:t>
      </w:r>
      <w:r w:rsidR="00B41CF2" w:rsidRPr="00A70CE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47553" w:rsidRPr="00A70C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47553" w:rsidRPr="00A70CEA" w:rsidRDefault="00B47553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Pr="00A70CEA" w:rsidRDefault="00B47553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47553" w:rsidRPr="00A70CEA" w:rsidRDefault="00B47553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</w:p>
    <w:p w:rsidR="00B47553" w:rsidRPr="00A70CEA" w:rsidRDefault="00B47553" w:rsidP="00A70CEA">
      <w:pPr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color w:val="000000"/>
          <w:sz w:val="28"/>
          <w:szCs w:val="28"/>
        </w:rPr>
        <w:t>от ___________ № ____</w:t>
      </w:r>
    </w:p>
    <w:p w:rsidR="00B47553" w:rsidRPr="00A70CEA" w:rsidRDefault="00B47553" w:rsidP="005954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участия представителей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</w:t>
      </w:r>
    </w:p>
    <w:p w:rsidR="00A70CEA" w:rsidRDefault="00A70CEA" w:rsidP="00A70CEA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0CEA" w:rsidRPr="00A70CEA" w:rsidRDefault="00A70CEA" w:rsidP="00A70CEA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6" w:history="1">
        <w:r w:rsidRPr="00A70C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A70C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 и определяет процедуру отбора и порядок деятельности представителей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организации, учредителем которой является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автономная некоммерческая организация).</w:t>
      </w:r>
      <w:proofErr w:type="gramEnd"/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1.2. Представителями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 (далее -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7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района) могут быть: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лица, замещающие муниципальные должности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лица, замещающие должности муниципальной службы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иные лица, действующие в соответствии с договором о представлении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1.3. Целями участия представителей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 являются: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защита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при принятии решений органами управления автономной некоммерческой организации;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получение необходимой информации о деятельности автономной некоммерческой организации в соответствии с действующим </w:t>
      </w:r>
      <w:r w:rsidRPr="00A70CEA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A70CEA" w:rsidRPr="00A70CEA" w:rsidRDefault="00A70CEA" w:rsidP="00A70CE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- 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:rsidR="00A70CEA" w:rsidRPr="00A70CEA" w:rsidRDefault="00A70CEA" w:rsidP="00A70CEA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2</w:t>
      </w:r>
      <w:r w:rsidRPr="00A70CEA">
        <w:rPr>
          <w:rFonts w:ascii="Times New Roman" w:hAnsi="Times New Roman" w:cs="Times New Roman"/>
          <w:sz w:val="28"/>
          <w:szCs w:val="28"/>
        </w:rPr>
        <w:t xml:space="preserve">. </w:t>
      </w:r>
      <w:r w:rsidRPr="00A70CEA">
        <w:rPr>
          <w:rFonts w:ascii="Times New Roman" w:hAnsi="Times New Roman" w:cs="Times New Roman"/>
          <w:b/>
          <w:sz w:val="28"/>
          <w:szCs w:val="28"/>
        </w:rPr>
        <w:t>Порядок назначения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2.1. Представители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из числа лиц, замещающих муниципальные должности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лиц, замещающих должности муниципальной службы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назначаются Главой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путем издания соответствующего правового акта.</w:t>
      </w:r>
    </w:p>
    <w:p w:rsidR="00A70CEA" w:rsidRPr="00A70CEA" w:rsidRDefault="00A70CEA" w:rsidP="00A70CE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сведения о сроке наделения полномочиями по представлению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2.2. Договор с гражданином Российской Федерации, не замещающим муниципальную должность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или должность муниципальной службы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заключается с администрацией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при заключении договора обеспечивает включение в него следующих условий: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наименование автономной некоммерческой организации и органа управления, в которых гражданин уполномочивается представлять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сельское поселение Красноармейского района;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права и обязанности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права и обязанности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порядок и основания прекращения договора.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3. Требования к порядку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осуществления действий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lastRenderedPageBreak/>
        <w:t xml:space="preserve">3.1. Представитель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осуществляет голосование по вопросам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>повестки дня заседания органов управления автономной некоммерческой организации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либо руководствуясь указаниями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(в случае, указанном в пункте 3.2 Порядка), либо по собственному усмотрению с учетом соблюдения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 xml:space="preserve">Обязательному письменному согласованию с администрацией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подлежит голосование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(за исключением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являющегося лицом, замещающим муниципальную должность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района) по вопросам, указанным в </w:t>
      </w:r>
      <w:hyperlink r:id="rId8" w:history="1">
        <w:r w:rsidRPr="00A70CEA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№ 7-ФЗ «О некоммерческих организациях», отнесенным к исключительной компетенции высшего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органа управления автономной некоммерческой 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менее чем за пять рабочих дней до даты его проведения, - в течение одного рабочего дня представитель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0CEA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материалов и его письменного мнения администрация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не позднее двух рабочих дней после поступления материалов либо в день их поступления, если уведомление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получено с опозданием, направляет представителю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письменные указания по голосованию на заседании органа управления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организации. При отсутствии письменных указаний представитель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голосует в соответствии с предложениями, направленными им ранее в администрацию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70CEA">
        <w:rPr>
          <w:rFonts w:ascii="Times New Roman" w:hAnsi="Times New Roman" w:cs="Times New Roman"/>
          <w:sz w:val="28"/>
          <w:szCs w:val="28"/>
        </w:rPr>
        <w:lastRenderedPageBreak/>
        <w:t>Красноармейского района.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3.3. Иные полномочия представителей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3.4. Представитель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обязан: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3.4.2. Неукоснительно выполнять письменные указания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голосованию на заседании (за исключением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являющегося лицом, замещающим муниципальную должность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района).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3.4.3. Представлять в администрацию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3.4.4. В соответствии с главой 4 настоящего Порядка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3.5. Представитель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не вправе: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4. Порядок отчетности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EA" w:rsidRPr="00A70CEA" w:rsidRDefault="00A70CEA" w:rsidP="00A70CE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154"/>
      <w:bookmarkEnd w:id="0"/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Ежегодно, до 1 мая, представители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представляют в администрацию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hyperlink r:id="rId9" w:history="1">
        <w:r w:rsidRPr="00A70C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отчет</w:t>
        </w:r>
      </w:hyperlink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организации, учредителем которой является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форме согласно Приложению № 2 к настоящему Постановлению.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>5. Порядок прекращения полномочий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A">
        <w:rPr>
          <w:rFonts w:ascii="Times New Roman" w:hAnsi="Times New Roman" w:cs="Times New Roman"/>
          <w:b/>
          <w:sz w:val="28"/>
          <w:szCs w:val="28"/>
        </w:rPr>
        <w:t xml:space="preserve">представителя </w:t>
      </w:r>
      <w:proofErr w:type="spellStart"/>
      <w:r w:rsidRPr="00A70C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A70CEA" w:rsidRPr="00A70CEA" w:rsidRDefault="00A70CEA" w:rsidP="00A70CE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5.1. Полномочия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прекращаются: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5.1.1. По истечении срока полномочий в соответствии с правовым актом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или заключенным договором о представлении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5.1.2. В связи с решением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замене представителя.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5.1.3. При увольнении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 занимаемой им муниципальной должности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или должности муниципальной службы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5.1.4. В случае расторжения или прекращения договора о представлении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5.2. Замена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осуществляется в случае: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отказа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участия в органах управления автономной некоммерческой организации;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систематического (два раза и более) неисполнения представителем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обязанностей, установленных </w:t>
      </w:r>
      <w:hyperlink r:id="rId10" w:history="1">
        <w:r w:rsidRPr="00A70CEA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70CEA">
        <w:rPr>
          <w:rFonts w:ascii="Times New Roman" w:hAnsi="Times New Roman" w:cs="Times New Roman"/>
          <w:sz w:val="28"/>
          <w:szCs w:val="28"/>
        </w:rPr>
        <w:t xml:space="preserve">Решение о замене лица, замещающего муниципальную должность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являющегося представителем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либо решение о замене муниципального служащего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являющегося представителем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принимается в форме правового акта администрации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которым прекращаются полномочия одного муниципального служащего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</w:t>
      </w:r>
      <w:proofErr w:type="gramEnd"/>
      <w:r w:rsidRPr="00A70CEA">
        <w:rPr>
          <w:rFonts w:ascii="Times New Roman" w:hAnsi="Times New Roman" w:cs="Times New Roman"/>
          <w:sz w:val="28"/>
          <w:szCs w:val="28"/>
        </w:rPr>
        <w:t xml:space="preserve"> назначается иной муниципальный служащий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качестве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70CEA" w:rsidRPr="00A70CEA" w:rsidRDefault="00A70CEA" w:rsidP="00A70CE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lastRenderedPageBreak/>
        <w:t xml:space="preserve">5.4. Решение о замене гражданина, являющегося представителем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действующего на основании договора, принимается в случае расторжения или прекращения договора о представлении интересов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органах управления автономной некоммерческой организации.</w:t>
      </w:r>
    </w:p>
    <w:p w:rsidR="00A70CEA" w:rsidRPr="00A70CEA" w:rsidRDefault="00A70CEA" w:rsidP="00A70CE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 </w:t>
      </w:r>
      <w:proofErr w:type="gramStart"/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прекращения полномочий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основаниям, указанным в </w:t>
      </w:r>
      <w:hyperlink r:id="rId11" w:history="1">
        <w:r w:rsidRPr="00A70C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5.1.1</w:t>
        </w:r>
      </w:hyperlink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2" w:history="1">
        <w:r w:rsidRPr="00A70C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5.1.4 пункта 5.1</w:t>
        </w:r>
      </w:hyperlink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администрация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органах</w:t>
      </w:r>
      <w:proofErr w:type="gramEnd"/>
      <w:r w:rsidRPr="00A70C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автономной некоммерческой организации.</w:t>
      </w:r>
    </w:p>
    <w:p w:rsidR="00F27DEB" w:rsidRPr="00A70CEA" w:rsidRDefault="00F27DEB" w:rsidP="00D2435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4820" w:rsidRPr="00A70CEA" w:rsidRDefault="00E54820" w:rsidP="00E548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специалист  </w:t>
      </w:r>
    </w:p>
    <w:p w:rsidR="00E54820" w:rsidRPr="00A70CEA" w:rsidRDefault="00E54820" w:rsidP="00E548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юридическим вопросам администрации </w:t>
      </w:r>
    </w:p>
    <w:p w:rsidR="00E54820" w:rsidRPr="00A70CEA" w:rsidRDefault="00E54820" w:rsidP="00E548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:rsidR="00F27DEB" w:rsidRPr="00A70CEA" w:rsidRDefault="00E54820" w:rsidP="00E548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района</w:t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</w:t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Т.А. Филимонова</w:t>
      </w:r>
    </w:p>
    <w:p w:rsidR="00F27DEB" w:rsidRPr="00A70CEA" w:rsidRDefault="00F27DEB" w:rsidP="00E54820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DEB" w:rsidRPr="00A70CEA" w:rsidRDefault="00F27DEB" w:rsidP="00D2435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DEB" w:rsidRPr="00A70CEA" w:rsidRDefault="00F27DEB" w:rsidP="00D2435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DEB" w:rsidRPr="00A70CEA" w:rsidRDefault="00F27DEB" w:rsidP="00D2435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DEB" w:rsidRPr="00A70CEA" w:rsidRDefault="00F27DEB" w:rsidP="00D2435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7DEB" w:rsidRDefault="00F27DEB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Pr="00A70CEA" w:rsidRDefault="00A70CEA" w:rsidP="00F27DEB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0CEA" w:rsidRPr="00A70CEA" w:rsidRDefault="00A70CEA" w:rsidP="00A70CE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70CEA" w:rsidRPr="00A70CEA" w:rsidRDefault="00A70CEA" w:rsidP="00A70CE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70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0CEA" w:rsidRPr="00A70CEA" w:rsidRDefault="00A70CEA" w:rsidP="00A70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EA" w:rsidRPr="00A70CEA" w:rsidRDefault="00A70CEA" w:rsidP="00A70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</w:p>
    <w:p w:rsidR="00A70CEA" w:rsidRPr="00A70CEA" w:rsidRDefault="00A70CEA" w:rsidP="00A70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70CEA" w:rsidRPr="00A70CEA" w:rsidRDefault="00A70CEA" w:rsidP="00A70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A70CEA" w:rsidRPr="00A70CEA" w:rsidRDefault="00A70CEA" w:rsidP="00A70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</w:p>
    <w:p w:rsidR="00A70CEA" w:rsidRPr="00A70CEA" w:rsidRDefault="00A70CEA" w:rsidP="00A70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04" w:history="1">
        <w:r w:rsidRPr="00A70CE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A7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EA" w:rsidRPr="00A70CEA" w:rsidRDefault="00A70CEA" w:rsidP="00A70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органе управления автономной некоммерческой организации </w:t>
      </w:r>
    </w:p>
    <w:p w:rsidR="00A70CEA" w:rsidRPr="00A70CEA" w:rsidRDefault="00A70CEA" w:rsidP="00A70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A70CEA" w:rsidRPr="00A70CEA" w:rsidRDefault="00A70CEA" w:rsidP="00A70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65"/>
      </w:tblGrid>
      <w:tr w:rsidR="00A70CEA" w:rsidRPr="00A70CEA" w:rsidTr="00A41860">
        <w:trPr>
          <w:trHeight w:val="388"/>
        </w:trPr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rPr>
          <w:trHeight w:val="622"/>
        </w:trPr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Отчет за период </w:t>
            </w:r>
            <w:proofErr w:type="gram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________ по ________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представителя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в органе управления автономной некоммерческой организации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постановления администрации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о назначении представителем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proofErr w:type="spellStart"/>
            <w:proofErr w:type="gram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proofErr w:type="gram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7008" w:type="dxa"/>
          </w:tcPr>
          <w:p w:rsidR="00A70CEA" w:rsidRPr="00A70CEA" w:rsidRDefault="00A70CEA" w:rsidP="00A41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CEA" w:rsidRPr="00A70CEA" w:rsidRDefault="00A70CEA" w:rsidP="00A70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CEA">
        <w:rPr>
          <w:rFonts w:ascii="Times New Roman" w:hAnsi="Times New Roman" w:cs="Times New Roman"/>
          <w:sz w:val="28"/>
          <w:szCs w:val="28"/>
        </w:rPr>
        <w:t xml:space="preserve">Раздел 2. Деятельность представителя </w:t>
      </w:r>
      <w:proofErr w:type="spellStart"/>
      <w:r w:rsidRPr="00A70CE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органе управления автономной некоммерческой организации за отчетный период</w:t>
      </w:r>
    </w:p>
    <w:p w:rsidR="00A70CEA" w:rsidRPr="00A70CEA" w:rsidRDefault="00A70CEA" w:rsidP="00A70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587"/>
        <w:gridCol w:w="2240"/>
        <w:gridCol w:w="2211"/>
        <w:gridCol w:w="1663"/>
      </w:tblGrid>
      <w:tr w:rsidR="00A70CEA" w:rsidRPr="00A70CEA" w:rsidTr="00A41860">
        <w:tc>
          <w:tcPr>
            <w:tcW w:w="1622" w:type="dxa"/>
          </w:tcPr>
          <w:p w:rsidR="00A70CEA" w:rsidRPr="00A70CEA" w:rsidRDefault="00A70CEA" w:rsidP="00A4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</w:t>
            </w: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управления</w:t>
            </w:r>
          </w:p>
        </w:tc>
        <w:tc>
          <w:tcPr>
            <w:tcW w:w="1587" w:type="dxa"/>
          </w:tcPr>
          <w:p w:rsidR="00A70CEA" w:rsidRPr="00A70CEA" w:rsidRDefault="00A70CEA" w:rsidP="00A4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</w:t>
            </w:r>
            <w:proofErr w:type="gram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повестки дня </w:t>
            </w: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органа управления</w:t>
            </w:r>
            <w:proofErr w:type="gramEnd"/>
          </w:p>
        </w:tc>
        <w:tc>
          <w:tcPr>
            <w:tcW w:w="2240" w:type="dxa"/>
          </w:tcPr>
          <w:p w:rsidR="00A70CEA" w:rsidRPr="00A70CEA" w:rsidRDefault="00A70CEA" w:rsidP="00A4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Позиция представителя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Старонижестеб-</w:t>
            </w: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Красноармейс-кого</w:t>
            </w:r>
            <w:proofErr w:type="spellEnd"/>
            <w:proofErr w:type="gram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211" w:type="dxa"/>
          </w:tcPr>
          <w:p w:rsidR="00A70CEA" w:rsidRPr="00A70CEA" w:rsidRDefault="00A70CEA" w:rsidP="00A4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Указания, полученные от администрации </w:t>
            </w:r>
            <w:proofErr w:type="spell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Старонижестеб-лиевского</w:t>
            </w:r>
            <w:proofErr w:type="spell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>Красноармейс-кого</w:t>
            </w:r>
            <w:proofErr w:type="spellEnd"/>
            <w:proofErr w:type="gramEnd"/>
            <w:r w:rsidRPr="00A7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3" w:type="dxa"/>
          </w:tcPr>
          <w:p w:rsidR="00A70CEA" w:rsidRPr="00A70CEA" w:rsidRDefault="00A70CEA" w:rsidP="00A4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голосования</w:t>
            </w:r>
          </w:p>
        </w:tc>
      </w:tr>
      <w:tr w:rsidR="00A70CEA" w:rsidRPr="00A70CEA" w:rsidTr="00A41860">
        <w:trPr>
          <w:trHeight w:val="187"/>
        </w:trPr>
        <w:tc>
          <w:tcPr>
            <w:tcW w:w="1622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EA" w:rsidRPr="00A70CEA" w:rsidTr="00A41860">
        <w:tc>
          <w:tcPr>
            <w:tcW w:w="1622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A70CEA" w:rsidRPr="00A70CEA" w:rsidRDefault="00A70CEA" w:rsidP="00A41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CEA" w:rsidRPr="00A70CEA" w:rsidRDefault="00A70CEA" w:rsidP="00A70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0CEA" w:rsidRPr="00A70CEA" w:rsidRDefault="00A70CEA" w:rsidP="00A70CEA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специалист  </w:t>
      </w:r>
    </w:p>
    <w:p w:rsidR="00A70CEA" w:rsidRPr="00A70CEA" w:rsidRDefault="00A70CEA" w:rsidP="00A70CEA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юридическим вопросам администрации </w:t>
      </w:r>
    </w:p>
    <w:p w:rsidR="00A70CEA" w:rsidRPr="00A70CEA" w:rsidRDefault="00A70CEA" w:rsidP="00A70CEA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:rsidR="00A70CEA" w:rsidRPr="00A70CEA" w:rsidRDefault="00A70CEA" w:rsidP="00A70CEA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района</w:t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</w:t>
      </w:r>
      <w:r w:rsidRPr="00A70CEA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Т.А. Филимонова</w:t>
      </w:r>
    </w:p>
    <w:p w:rsidR="00B41CF2" w:rsidRPr="00A70CEA" w:rsidRDefault="00B41CF2" w:rsidP="00A70CEA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41CF2" w:rsidRPr="00A70CEA" w:rsidSect="00A70C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323C6"/>
    <w:rsid w:val="005377EF"/>
    <w:rsid w:val="0055316C"/>
    <w:rsid w:val="005954C1"/>
    <w:rsid w:val="005B3D79"/>
    <w:rsid w:val="006409B2"/>
    <w:rsid w:val="00683A07"/>
    <w:rsid w:val="006F1E3D"/>
    <w:rsid w:val="007B27EE"/>
    <w:rsid w:val="0083263A"/>
    <w:rsid w:val="00954616"/>
    <w:rsid w:val="009F1F39"/>
    <w:rsid w:val="00A70CEA"/>
    <w:rsid w:val="00A7636B"/>
    <w:rsid w:val="00AC2228"/>
    <w:rsid w:val="00AC5FE3"/>
    <w:rsid w:val="00B41CF2"/>
    <w:rsid w:val="00B47553"/>
    <w:rsid w:val="00BB3992"/>
    <w:rsid w:val="00BF5721"/>
    <w:rsid w:val="00C52A58"/>
    <w:rsid w:val="00C66884"/>
    <w:rsid w:val="00C737CC"/>
    <w:rsid w:val="00D03B4D"/>
    <w:rsid w:val="00D13402"/>
    <w:rsid w:val="00D2435B"/>
    <w:rsid w:val="00D53EA7"/>
    <w:rsid w:val="00D942AD"/>
    <w:rsid w:val="00DE0F9B"/>
    <w:rsid w:val="00E14883"/>
    <w:rsid w:val="00E51D67"/>
    <w:rsid w:val="00E54820"/>
    <w:rsid w:val="00E9284B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31</cp:revision>
  <cp:lastPrinted>2020-02-11T07:44:00Z</cp:lastPrinted>
  <dcterms:created xsi:type="dcterms:W3CDTF">2015-11-24T06:39:00Z</dcterms:created>
  <dcterms:modified xsi:type="dcterms:W3CDTF">2021-01-22T08:09:00Z</dcterms:modified>
</cp:coreProperties>
</file>