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660"/>
      </w:tblGrid>
      <w:tr w:rsidR="00FF5F70" w:rsidRPr="00FF5F70" w:rsidTr="0075652D">
        <w:tc>
          <w:tcPr>
            <w:tcW w:w="9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F5F70" w:rsidRPr="00FF5F70" w:rsidRDefault="00FF5F70" w:rsidP="00FF5F70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FF5F7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2600" cy="60007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5F70" w:rsidRPr="00FF5F70" w:rsidRDefault="00FF5F70" w:rsidP="00FF5F70">
      <w:pPr>
        <w:suppressAutoHyphens/>
        <w:spacing w:after="0" w:line="240" w:lineRule="auto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FF5F70">
        <w:rPr>
          <w:rFonts w:ascii="Times New Roman" w:hAnsi="Times New Roman" w:cs="Times New Roman"/>
          <w:kern w:val="1"/>
          <w:sz w:val="28"/>
          <w:szCs w:val="28"/>
          <w:lang w:eastAsia="ar-SA"/>
        </w:rPr>
        <w:t>Совет Старонижестеблиевского сельского поселения</w:t>
      </w:r>
    </w:p>
    <w:p w:rsidR="00FF5F70" w:rsidRPr="00FF5F70" w:rsidRDefault="00FF5F70" w:rsidP="00522D94">
      <w:pPr>
        <w:suppressAutoHyphens/>
        <w:spacing w:after="0" w:line="240" w:lineRule="auto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FF5F70">
        <w:rPr>
          <w:rFonts w:ascii="Times New Roman" w:hAnsi="Times New Roman" w:cs="Times New Roman"/>
          <w:kern w:val="1"/>
          <w:sz w:val="28"/>
          <w:szCs w:val="28"/>
          <w:lang w:eastAsia="ar-SA"/>
        </w:rPr>
        <w:t>Красноармейского района</w:t>
      </w:r>
    </w:p>
    <w:p w:rsidR="00FF5F70" w:rsidRPr="00FF5F70" w:rsidRDefault="00FF5F70" w:rsidP="00FF5F70">
      <w:pPr>
        <w:suppressAutoHyphens/>
        <w:spacing w:after="0" w:line="240" w:lineRule="auto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FF5F7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РЕШЕНИЕ</w:t>
      </w:r>
    </w:p>
    <w:p w:rsidR="00FF5F70" w:rsidRPr="00FF5F70" w:rsidRDefault="00FF5F70" w:rsidP="00FF5F70">
      <w:pPr>
        <w:suppressAutoHyphens/>
        <w:spacing w:after="0" w:line="240" w:lineRule="auto"/>
        <w:rPr>
          <w:rFonts w:ascii="Times New Roman" w:hAnsi="Times New Roman" w:cs="Times New Roman"/>
          <w:b/>
          <w:kern w:val="1"/>
          <w:sz w:val="28"/>
          <w:szCs w:val="28"/>
          <w:lang w:eastAsia="ar-SA"/>
        </w:rPr>
      </w:pPr>
    </w:p>
    <w:p w:rsidR="00FF5F70" w:rsidRPr="00FF5F70" w:rsidRDefault="00FF5F70" w:rsidP="00FF5F70">
      <w:pPr>
        <w:suppressAutoHyphens/>
        <w:spacing w:after="0" w:line="240" w:lineRule="auto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FF5F7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« </w:t>
      </w:r>
      <w:r w:rsidR="009A096B">
        <w:rPr>
          <w:rFonts w:ascii="Times New Roman" w:hAnsi="Times New Roman" w:cs="Times New Roman"/>
          <w:kern w:val="1"/>
          <w:sz w:val="28"/>
          <w:szCs w:val="28"/>
          <w:lang w:eastAsia="ar-SA"/>
        </w:rPr>
        <w:t>14</w:t>
      </w:r>
      <w:r w:rsidRPr="00FF5F7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» </w:t>
      </w:r>
      <w:r w:rsidR="009A096B">
        <w:rPr>
          <w:rFonts w:ascii="Times New Roman" w:hAnsi="Times New Roman" w:cs="Times New Roman"/>
          <w:kern w:val="1"/>
          <w:sz w:val="28"/>
          <w:szCs w:val="28"/>
          <w:lang w:eastAsia="ar-SA"/>
        </w:rPr>
        <w:t>ноября</w:t>
      </w:r>
      <w:r w:rsidRPr="00FF5F7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2018 года                                                                           № </w:t>
      </w:r>
      <w:r w:rsidR="009A096B">
        <w:rPr>
          <w:rFonts w:ascii="Times New Roman" w:hAnsi="Times New Roman" w:cs="Times New Roman"/>
          <w:kern w:val="1"/>
          <w:sz w:val="28"/>
          <w:szCs w:val="28"/>
          <w:lang w:eastAsia="ar-SA"/>
        </w:rPr>
        <w:t>58/4</w:t>
      </w:r>
    </w:p>
    <w:p w:rsidR="00FF5F70" w:rsidRPr="00FF5F70" w:rsidRDefault="00FF5F70" w:rsidP="00FF5F70">
      <w:pPr>
        <w:suppressAutoHyphens/>
        <w:spacing w:after="0" w:line="240" w:lineRule="auto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FF5F70">
        <w:rPr>
          <w:rFonts w:ascii="Times New Roman" w:hAnsi="Times New Roman" w:cs="Times New Roman"/>
          <w:kern w:val="1"/>
          <w:sz w:val="28"/>
          <w:szCs w:val="28"/>
          <w:lang w:eastAsia="ar-SA"/>
        </w:rPr>
        <w:t>станица Старонижестеблиевская</w:t>
      </w:r>
    </w:p>
    <w:p w:rsidR="00FF5F70" w:rsidRPr="00233451" w:rsidRDefault="00FF5F70" w:rsidP="00FF5F70">
      <w:pPr>
        <w:spacing w:after="0"/>
      </w:pPr>
    </w:p>
    <w:p w:rsidR="007359B7" w:rsidRPr="00FF5F70" w:rsidRDefault="007359B7" w:rsidP="007359B7">
      <w:pPr>
        <w:spacing w:after="0" w:line="240" w:lineRule="auto"/>
        <w:ind w:left="567" w:right="566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5F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Совета </w:t>
      </w:r>
      <w:r w:rsidR="00FF5F70" w:rsidRPr="00FF5F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Старонижестеблиевского </w:t>
      </w:r>
      <w:r w:rsidR="00E3671B" w:rsidRPr="00FF5F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сельского </w:t>
      </w:r>
      <w:r w:rsidRPr="00FF5F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поселения </w:t>
      </w:r>
      <w:r w:rsidR="00FF5F70" w:rsidRPr="00FF5F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Красноармейского</w:t>
      </w:r>
      <w:r w:rsidRPr="00FF5F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от </w:t>
      </w:r>
      <w:r w:rsidR="00FF5F70" w:rsidRPr="00FF5F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27 октября 2016</w:t>
      </w:r>
      <w:r w:rsidRPr="00FF5F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 w:rsidR="00FF5F70" w:rsidRPr="00FF5F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43</w:t>
      </w:r>
      <w:r w:rsidRPr="00FF5F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установлении нал</w:t>
      </w:r>
      <w:r w:rsidR="00FF5F70" w:rsidRPr="00FF5F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ога на имущество физических лиц»</w:t>
      </w:r>
    </w:p>
    <w:p w:rsidR="008D2E57" w:rsidRDefault="008D2E57" w:rsidP="007359B7">
      <w:pPr>
        <w:suppressAutoHyphens/>
        <w:spacing w:after="0" w:line="240" w:lineRule="auto"/>
        <w:ind w:firstLine="567"/>
        <w:jc w:val="center"/>
        <w:rPr>
          <w:rFonts w:ascii="Arial" w:eastAsia="SimSun" w:hAnsi="Arial" w:cs="Arial"/>
          <w:b/>
          <w:color w:val="FF0000"/>
          <w:sz w:val="20"/>
          <w:szCs w:val="20"/>
          <w:lang w:eastAsia="ar-SA"/>
        </w:rPr>
      </w:pPr>
    </w:p>
    <w:p w:rsidR="008D2E57" w:rsidRPr="003169B2" w:rsidRDefault="008D2E57" w:rsidP="007359B7">
      <w:pPr>
        <w:suppressAutoHyphens/>
        <w:spacing w:after="0" w:line="240" w:lineRule="auto"/>
        <w:ind w:firstLine="567"/>
        <w:jc w:val="center"/>
        <w:rPr>
          <w:rFonts w:ascii="Arial" w:eastAsia="SimSun" w:hAnsi="Arial" w:cs="Arial"/>
          <w:b/>
          <w:color w:val="FF0000"/>
          <w:sz w:val="20"/>
          <w:szCs w:val="20"/>
          <w:lang w:eastAsia="ar-SA"/>
        </w:rPr>
      </w:pPr>
    </w:p>
    <w:p w:rsidR="007359B7" w:rsidRPr="00522D94" w:rsidRDefault="007359B7" w:rsidP="007359B7">
      <w:pPr>
        <w:keepNext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22D9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6 октября 2003 года №</w:t>
      </w:r>
      <w:r w:rsidR="00AC0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2D94">
        <w:rPr>
          <w:rFonts w:ascii="Times New Roman" w:eastAsia="Times New Roman" w:hAnsi="Times New Roman" w:cs="Times New Roman"/>
          <w:sz w:val="28"/>
          <w:szCs w:val="28"/>
          <w:lang w:eastAsia="ru-RU"/>
        </w:rPr>
        <w:t>131-ФЗ «Об общих принципах организации местного самоуправления в Российской Федерации», главой 32 Налогового кодекса Российской Федерации, Законом Краснодарского края от 26 ноября 2003 года № 620-КЗ «О налоге на имущество организаций», Федеральным законом от 30 сентября 2017 года № 286-ФЗ «О внесении изменений в часть вторую Налогового кодекса Российской Федерации и отдельные</w:t>
      </w:r>
      <w:proofErr w:type="gramEnd"/>
      <w:r w:rsidRPr="00522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законодательные акты Российской Федерации», Законом Краснодарского края от 4 апреля 2016 года № 3368-КЗ «Об установлении единой даты начала применения на территории Краснодарского края порядка определения налоговой базы по налогу на имущество физических лиц исходя из кадастровой стоим</w:t>
      </w:r>
      <w:r w:rsidR="008D2E57" w:rsidRPr="00522D9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ости объектов налогообложения»,</w:t>
      </w:r>
      <w:r w:rsidRPr="00522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 </w:t>
      </w:r>
      <w:r w:rsidR="00FF5F70" w:rsidRPr="00522D9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Старонижестеблиевского</w:t>
      </w:r>
      <w:r w:rsidRPr="00522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671B" w:rsidRPr="00522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Pr="00522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  <w:r w:rsidR="00FF5F70" w:rsidRPr="00522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Красноармейского района </w:t>
      </w:r>
      <w:r w:rsidRPr="00522D9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7359B7" w:rsidRPr="00522D94" w:rsidRDefault="007359B7" w:rsidP="007359B7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522D94">
        <w:rPr>
          <w:rFonts w:ascii="Times New Roman" w:eastAsia="SimSun" w:hAnsi="Times New Roman" w:cs="Times New Roman"/>
          <w:sz w:val="28"/>
          <w:szCs w:val="28"/>
          <w:lang w:eastAsia="ru-RU"/>
        </w:rPr>
        <w:t>1.</w:t>
      </w:r>
      <w:r w:rsidR="00AC0D8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Pr="00522D9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Внести следующие изменения в решение </w:t>
      </w:r>
      <w:r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Совета </w:t>
      </w:r>
      <w:r w:rsidR="00FF5F70"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>Старонижестеблиевского</w:t>
      </w:r>
      <w:r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</w:t>
      </w:r>
      <w:r w:rsidR="00E3671B"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сельского </w:t>
      </w:r>
      <w:r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поселения </w:t>
      </w:r>
      <w:r w:rsidR="00FF5F70"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>Красноармейского</w:t>
      </w:r>
      <w:r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района от </w:t>
      </w:r>
      <w:r w:rsidR="00AC0D8B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  </w:t>
      </w:r>
      <w:r w:rsidR="00FF5F70"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>27 октября 2016</w:t>
      </w:r>
      <w:r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года № </w:t>
      </w:r>
      <w:r w:rsidR="00FF5F70"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>43</w:t>
      </w:r>
      <w:r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«Об установлении налога на имущество физических лиц»</w:t>
      </w:r>
      <w:r w:rsidR="00ED3C3D"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(далее – </w:t>
      </w:r>
      <w:r w:rsidR="00912887">
        <w:rPr>
          <w:rFonts w:ascii="Times New Roman" w:eastAsia="SimSun" w:hAnsi="Times New Roman" w:cs="Times New Roman"/>
          <w:sz w:val="28"/>
          <w:szCs w:val="28"/>
          <w:lang w:eastAsia="ar-SA"/>
        </w:rPr>
        <w:t>р</w:t>
      </w:r>
      <w:r w:rsidR="00ED3C3D"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>ешение)</w:t>
      </w:r>
      <w:r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>:</w:t>
      </w:r>
    </w:p>
    <w:p w:rsidR="007359B7" w:rsidRPr="00522D94" w:rsidRDefault="00FF5F70" w:rsidP="007359B7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522D94">
        <w:rPr>
          <w:rFonts w:ascii="Times New Roman" w:eastAsia="SimSun" w:hAnsi="Times New Roman" w:cs="Times New Roman"/>
          <w:sz w:val="28"/>
          <w:szCs w:val="28"/>
          <w:lang w:eastAsia="ru-RU"/>
        </w:rPr>
        <w:t>1.1. пункт 2</w:t>
      </w:r>
      <w:r w:rsidR="007359B7" w:rsidRPr="00522D9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7359B7" w:rsidRPr="00522D94" w:rsidRDefault="007359B7" w:rsidP="007359B7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r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>«</w:t>
      </w:r>
      <w:r w:rsidR="00FF5F70"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>2</w:t>
      </w:r>
      <w:r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>.</w:t>
      </w:r>
      <w:r w:rsidR="00AC0D8B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</w:t>
      </w:r>
      <w:r w:rsidR="00FF5F70"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>Н</w:t>
      </w:r>
      <w:r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алоговые ставки </w:t>
      </w:r>
      <w:r w:rsidR="00FF5F70"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устанавливаются в следующих размерах исходя из </w:t>
      </w:r>
      <w:r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>кадастровой стоимости объектов налогообложения:</w:t>
      </w:r>
    </w:p>
    <w:p w:rsidR="007359B7" w:rsidRPr="00522D94" w:rsidRDefault="007359B7" w:rsidP="007359B7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</w:p>
    <w:tbl>
      <w:tblPr>
        <w:tblW w:w="936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7"/>
        <w:gridCol w:w="2127"/>
        <w:gridCol w:w="6666"/>
      </w:tblGrid>
      <w:tr w:rsidR="007359B7" w:rsidRPr="00522D94" w:rsidTr="00FF120A">
        <w:trPr>
          <w:trHeight w:val="7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59B7" w:rsidRPr="00522D94" w:rsidRDefault="007359B7" w:rsidP="0075652D">
            <w:pPr>
              <w:tabs>
                <w:tab w:val="left" w:pos="14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359B7" w:rsidRPr="00522D94" w:rsidRDefault="007359B7" w:rsidP="0075652D">
            <w:pPr>
              <w:tabs>
                <w:tab w:val="left" w:pos="14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9B7" w:rsidRPr="00522D94" w:rsidRDefault="007359B7" w:rsidP="0075652D">
            <w:pPr>
              <w:tabs>
                <w:tab w:val="left" w:pos="14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Налоговая ставка, %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9B7" w:rsidRPr="00522D94" w:rsidRDefault="007359B7" w:rsidP="0075652D">
            <w:pPr>
              <w:tabs>
                <w:tab w:val="left" w:pos="20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Объекты налогообложения</w:t>
            </w:r>
          </w:p>
        </w:tc>
      </w:tr>
      <w:tr w:rsidR="00D9706E" w:rsidRPr="00522D94" w:rsidTr="00912887">
        <w:trPr>
          <w:trHeight w:val="187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706E" w:rsidRPr="00522D94" w:rsidRDefault="00D9706E" w:rsidP="0075652D">
            <w:pPr>
              <w:tabs>
                <w:tab w:val="left" w:pos="176"/>
                <w:tab w:val="left" w:pos="34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1</w:t>
            </w:r>
          </w:p>
          <w:p w:rsidR="00D9706E" w:rsidRPr="00522D94" w:rsidRDefault="00D9706E" w:rsidP="0075652D">
            <w:pPr>
              <w:tabs>
                <w:tab w:val="left" w:pos="15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706E" w:rsidRPr="00522D94" w:rsidRDefault="00D9706E" w:rsidP="0075652D">
            <w:pPr>
              <w:tabs>
                <w:tab w:val="left" w:pos="459"/>
                <w:tab w:val="left" w:pos="34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06E" w:rsidRPr="00522D94" w:rsidRDefault="00D9706E" w:rsidP="00756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</w:t>
            </w:r>
            <w:r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r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илые дома, части жилых домов, жилые помещения (квартиры, комнаты), части квартир;</w:t>
            </w:r>
          </w:p>
          <w:p w:rsidR="00D9706E" w:rsidRPr="00522D94" w:rsidRDefault="00D9706E" w:rsidP="00756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е</w:t>
            </w:r>
            <w:r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диные недвижимые комплексы, в состав которых входит хотя бы одно жилое помещение (жилой дом);</w:t>
            </w:r>
          </w:p>
        </w:tc>
      </w:tr>
      <w:tr w:rsidR="00D9706E" w:rsidRPr="00522D94" w:rsidTr="00912887">
        <w:trPr>
          <w:trHeight w:val="56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706E" w:rsidRPr="00522D94" w:rsidRDefault="00D9706E" w:rsidP="0075652D">
            <w:pPr>
              <w:tabs>
                <w:tab w:val="left" w:pos="176"/>
                <w:tab w:val="left" w:pos="34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9706E" w:rsidRDefault="00D9706E" w:rsidP="0075652D">
            <w:pPr>
              <w:tabs>
                <w:tab w:val="left" w:pos="459"/>
                <w:tab w:val="left" w:pos="34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706E" w:rsidRPr="00522D94" w:rsidRDefault="00D9706E" w:rsidP="00F363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</w:t>
            </w:r>
            <w:r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  <w:r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озяйственные строения или сооружения, площадь </w:t>
            </w:r>
            <w:r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каждого из которых не превышает 50 кв.м.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</w:t>
            </w:r>
          </w:p>
          <w:p w:rsidR="00D9706E" w:rsidRDefault="00D9706E" w:rsidP="00F363C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 г</w:t>
            </w:r>
            <w:r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аражи и машино-места, в том числе расположенные в объектах налогообложения, указанных в строке 3 таблицы</w:t>
            </w:r>
          </w:p>
        </w:tc>
      </w:tr>
      <w:tr w:rsidR="00D9706E" w:rsidRPr="00522D94" w:rsidTr="00912887">
        <w:trPr>
          <w:trHeight w:val="711"/>
        </w:trPr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706E" w:rsidRPr="00522D94" w:rsidRDefault="00D9706E" w:rsidP="0075652D">
            <w:pPr>
              <w:tabs>
                <w:tab w:val="left" w:pos="176"/>
                <w:tab w:val="left" w:pos="34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9706E" w:rsidRPr="00522D94" w:rsidRDefault="00D9706E" w:rsidP="0075652D">
            <w:pPr>
              <w:tabs>
                <w:tab w:val="left" w:pos="459"/>
                <w:tab w:val="left" w:pos="34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6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06E" w:rsidRPr="00522D94" w:rsidRDefault="00D9706E" w:rsidP="00F363C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59B7" w:rsidRPr="00522D94" w:rsidTr="00FF120A">
        <w:trPr>
          <w:trHeight w:val="2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59B7" w:rsidRPr="00522D94" w:rsidRDefault="007359B7" w:rsidP="0075652D">
            <w:pPr>
              <w:tabs>
                <w:tab w:val="left" w:pos="1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ab/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359B7" w:rsidRPr="00522D94" w:rsidRDefault="00FF120A" w:rsidP="0075652D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9B7" w:rsidRPr="00522D94" w:rsidRDefault="00F363CE" w:rsidP="00756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7359B7"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бъекты незавершенного строительства в случае, если проектируемым назначением таких объектов является жилой дом</w:t>
            </w:r>
          </w:p>
        </w:tc>
      </w:tr>
      <w:tr w:rsidR="007359B7" w:rsidRPr="00522D94" w:rsidTr="00FF12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59B7" w:rsidRPr="00522D94" w:rsidRDefault="007359B7" w:rsidP="0075652D">
            <w:pPr>
              <w:tabs>
                <w:tab w:val="left" w:pos="1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3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59B7" w:rsidRPr="00522D94" w:rsidRDefault="00FF120A" w:rsidP="00D9706E">
            <w:pPr>
              <w:tabs>
                <w:tab w:val="left" w:pos="19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  <w:r w:rsidR="00F363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9B7" w:rsidRPr="00522D94" w:rsidRDefault="00F363CE" w:rsidP="00756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7359B7"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бъекты налогообложения, включенные в перечень, определяемый в соответствии с пунктом 7 статьи 378.2 НК РФ;</w:t>
            </w:r>
          </w:p>
          <w:p w:rsidR="007359B7" w:rsidRPr="00522D94" w:rsidRDefault="00F363CE" w:rsidP="00756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7359B7"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бъекты налогообложения, предусмотренные абзацем вторым пункта 10 статьи 378.2 НК РФ;</w:t>
            </w:r>
          </w:p>
          <w:p w:rsidR="007359B7" w:rsidRPr="00522D94" w:rsidRDefault="00F363CE" w:rsidP="0075652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7359B7"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бъекты налогообложения, кадастровая стоимость каждого из которых превышает 300 000 000 рублей</w:t>
            </w:r>
          </w:p>
        </w:tc>
      </w:tr>
      <w:tr w:rsidR="007359B7" w:rsidRPr="00522D94" w:rsidTr="00FF120A">
        <w:trPr>
          <w:trHeight w:val="67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522D94" w:rsidRDefault="007359B7" w:rsidP="0075652D">
            <w:pPr>
              <w:tabs>
                <w:tab w:val="left" w:pos="19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9B7" w:rsidRPr="00522D94" w:rsidRDefault="007359B7" w:rsidP="007565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9B7" w:rsidRPr="00522D94" w:rsidRDefault="007359B7" w:rsidP="007565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59B7" w:rsidRPr="00522D94" w:rsidTr="00FF12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9B7" w:rsidRPr="00522D94" w:rsidRDefault="007359B7" w:rsidP="0075652D">
            <w:pPr>
              <w:tabs>
                <w:tab w:val="left" w:pos="1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120A" w:rsidRPr="00522D94" w:rsidRDefault="00FF120A" w:rsidP="007359B7">
            <w:pPr>
              <w:tabs>
                <w:tab w:val="left" w:pos="459"/>
                <w:tab w:val="left" w:pos="34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9B7" w:rsidRPr="00522D94" w:rsidRDefault="00F363CE" w:rsidP="00756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7359B7"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рочие объекты налогообложения</w:t>
            </w:r>
          </w:p>
        </w:tc>
      </w:tr>
    </w:tbl>
    <w:p w:rsidR="007359B7" w:rsidRPr="00522D94" w:rsidRDefault="007359B7" w:rsidP="00912887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522D9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1.2. </w:t>
      </w:r>
      <w:r w:rsidR="00ED3C3D" w:rsidRPr="00522D9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Дополнить </w:t>
      </w:r>
      <w:r w:rsidR="00912887">
        <w:rPr>
          <w:rFonts w:ascii="Times New Roman" w:eastAsia="SimSun" w:hAnsi="Times New Roman" w:cs="Times New Roman"/>
          <w:sz w:val="28"/>
          <w:szCs w:val="28"/>
          <w:lang w:eastAsia="ru-RU"/>
        </w:rPr>
        <w:t>р</w:t>
      </w:r>
      <w:r w:rsidR="00ED3C3D" w:rsidRPr="00522D9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ешение </w:t>
      </w:r>
      <w:r w:rsidRPr="00522D94">
        <w:rPr>
          <w:rFonts w:ascii="Times New Roman" w:eastAsia="SimSun" w:hAnsi="Times New Roman" w:cs="Times New Roman"/>
          <w:sz w:val="28"/>
          <w:szCs w:val="28"/>
          <w:lang w:eastAsia="ru-RU"/>
        </w:rPr>
        <w:t>пункт</w:t>
      </w:r>
      <w:r w:rsidR="00ED3C3D" w:rsidRPr="00522D94">
        <w:rPr>
          <w:rFonts w:ascii="Times New Roman" w:eastAsia="SimSun" w:hAnsi="Times New Roman" w:cs="Times New Roman"/>
          <w:sz w:val="28"/>
          <w:szCs w:val="28"/>
          <w:lang w:eastAsia="ru-RU"/>
        </w:rPr>
        <w:t>ом</w:t>
      </w:r>
      <w:r w:rsidR="00817E02" w:rsidRPr="00522D9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2</w:t>
      </w:r>
      <w:r w:rsidR="00ED3C3D" w:rsidRPr="00522D94">
        <w:rPr>
          <w:rFonts w:ascii="Times New Roman" w:eastAsia="SimSun" w:hAnsi="Times New Roman" w:cs="Times New Roman"/>
          <w:sz w:val="28"/>
          <w:szCs w:val="28"/>
          <w:lang w:eastAsia="ru-RU"/>
        </w:rPr>
        <w:t>.1</w:t>
      </w:r>
      <w:r w:rsidRPr="00522D9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следующе</w:t>
      </w:r>
      <w:r w:rsidR="00ED3C3D" w:rsidRPr="00522D94">
        <w:rPr>
          <w:rFonts w:ascii="Times New Roman" w:eastAsia="SimSun" w:hAnsi="Times New Roman" w:cs="Times New Roman"/>
          <w:sz w:val="28"/>
          <w:szCs w:val="28"/>
          <w:lang w:eastAsia="ru-RU"/>
        </w:rPr>
        <w:t>го</w:t>
      </w:r>
      <w:r w:rsidR="00FF120A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="00ED3C3D" w:rsidRPr="00522D94">
        <w:rPr>
          <w:rFonts w:ascii="Times New Roman" w:eastAsia="SimSun" w:hAnsi="Times New Roman" w:cs="Times New Roman"/>
          <w:sz w:val="28"/>
          <w:szCs w:val="28"/>
          <w:lang w:eastAsia="ru-RU"/>
        </w:rPr>
        <w:t>содержания:</w:t>
      </w:r>
    </w:p>
    <w:p w:rsidR="007359B7" w:rsidRPr="00522D94" w:rsidRDefault="007359B7" w:rsidP="00FF120A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r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>«</w:t>
      </w:r>
      <w:r w:rsidR="00817E02"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>2</w:t>
      </w:r>
      <w:r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>.</w:t>
      </w:r>
      <w:r w:rsidR="00ED3C3D"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>1.</w:t>
      </w:r>
      <w:r w:rsidR="00F363CE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</w:t>
      </w:r>
      <w:r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Установить налоговые ставки </w:t>
      </w:r>
      <w:proofErr w:type="gramStart"/>
      <w:r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>налога</w:t>
      </w:r>
      <w:proofErr w:type="gramEnd"/>
      <w:r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на имущество физических лиц исходя из кадастровой стоимости объектов налогообложения в следующих размерах:</w:t>
      </w:r>
    </w:p>
    <w:tbl>
      <w:tblPr>
        <w:tblW w:w="936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7"/>
        <w:gridCol w:w="2127"/>
        <w:gridCol w:w="6666"/>
      </w:tblGrid>
      <w:tr w:rsidR="007359B7" w:rsidRPr="00522D94" w:rsidTr="00FF120A">
        <w:trPr>
          <w:trHeight w:val="7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59B7" w:rsidRPr="00522D94" w:rsidRDefault="007359B7" w:rsidP="0075652D">
            <w:pPr>
              <w:tabs>
                <w:tab w:val="left" w:pos="14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359B7" w:rsidRPr="00522D94" w:rsidRDefault="007359B7" w:rsidP="0075652D">
            <w:pPr>
              <w:tabs>
                <w:tab w:val="left" w:pos="14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9B7" w:rsidRPr="00522D94" w:rsidRDefault="007359B7" w:rsidP="0075652D">
            <w:pPr>
              <w:tabs>
                <w:tab w:val="left" w:pos="14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Налоговая ставка, %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9B7" w:rsidRPr="00522D94" w:rsidRDefault="007359B7" w:rsidP="0075652D">
            <w:pPr>
              <w:tabs>
                <w:tab w:val="left" w:pos="20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Объекты налогообложения</w:t>
            </w:r>
          </w:p>
        </w:tc>
      </w:tr>
      <w:tr w:rsidR="00FF120A" w:rsidRPr="00522D94" w:rsidTr="00F363CE">
        <w:trPr>
          <w:trHeight w:val="127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120A" w:rsidRPr="00522D94" w:rsidRDefault="00FF120A" w:rsidP="0075652D">
            <w:pPr>
              <w:tabs>
                <w:tab w:val="left" w:pos="176"/>
                <w:tab w:val="left" w:pos="34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1</w:t>
            </w:r>
          </w:p>
          <w:p w:rsidR="00FF120A" w:rsidRPr="00522D94" w:rsidRDefault="00FF120A" w:rsidP="0075652D">
            <w:pPr>
              <w:tabs>
                <w:tab w:val="left" w:pos="15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F120A" w:rsidRPr="00522D94" w:rsidRDefault="00FF120A" w:rsidP="007359B7">
            <w:p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20A" w:rsidRPr="00522D94" w:rsidRDefault="0075652D" w:rsidP="00756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ж</w:t>
            </w:r>
            <w:r w:rsidR="00FF120A"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илые дома, части жилых домов, квартиры, части квартир, комнаты;</w:t>
            </w:r>
          </w:p>
          <w:p w:rsidR="00FF120A" w:rsidRPr="00522D94" w:rsidRDefault="0075652D" w:rsidP="00756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е</w:t>
            </w:r>
            <w:r w:rsidR="00FF120A"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диные недвижимые комплексы, в состав которых входит хотя бы один жилой дом;</w:t>
            </w:r>
          </w:p>
        </w:tc>
      </w:tr>
      <w:tr w:rsidR="00FF120A" w:rsidRPr="00522D94" w:rsidTr="00FF120A">
        <w:trPr>
          <w:trHeight w:val="1607"/>
        </w:trPr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F120A" w:rsidRPr="00522D94" w:rsidRDefault="00FF120A" w:rsidP="0075652D">
            <w:pPr>
              <w:tabs>
                <w:tab w:val="left" w:pos="176"/>
                <w:tab w:val="left" w:pos="34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F120A" w:rsidRPr="00522D94" w:rsidRDefault="00FF120A" w:rsidP="007359B7">
            <w:p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20A" w:rsidRPr="00522D94" w:rsidRDefault="00FF34F2" w:rsidP="00FF12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</w:t>
            </w:r>
            <w:r w:rsidR="00FF120A"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  <w:r w:rsidR="00FF120A"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озяйственные строения или сооружения, площадь каждого из которых не превышает 50 кв.м.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</w:t>
            </w:r>
          </w:p>
          <w:p w:rsidR="00FF120A" w:rsidRPr="00522D94" w:rsidRDefault="00FF34F2" w:rsidP="00FF3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 г</w:t>
            </w:r>
            <w:r w:rsidR="00FF120A"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аражи и машино-места, в том числе расположенные в объектах налогообложения, указанных в строке 3 таблицы</w:t>
            </w:r>
          </w:p>
        </w:tc>
      </w:tr>
      <w:tr w:rsidR="007359B7" w:rsidRPr="00522D94" w:rsidTr="00FF120A">
        <w:trPr>
          <w:trHeight w:val="2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59B7" w:rsidRPr="00522D94" w:rsidRDefault="007359B7" w:rsidP="0075652D">
            <w:pPr>
              <w:tabs>
                <w:tab w:val="left" w:pos="1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FF120A" w:rsidRPr="00522D94" w:rsidRDefault="00FF120A" w:rsidP="007359B7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9B7" w:rsidRPr="00522D94" w:rsidRDefault="0005107A" w:rsidP="00756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7359B7"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бъекты незавершенного строительства в случае, если проектируемым назначением таких объектов является жилой дом</w:t>
            </w:r>
          </w:p>
        </w:tc>
      </w:tr>
      <w:tr w:rsidR="007359B7" w:rsidRPr="00522D94" w:rsidTr="00FF12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59B7" w:rsidRPr="00522D94" w:rsidRDefault="007359B7" w:rsidP="0075652D">
            <w:pPr>
              <w:tabs>
                <w:tab w:val="left" w:pos="1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3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120A" w:rsidRPr="00522D94" w:rsidRDefault="00FF120A" w:rsidP="00D9706E">
            <w:pPr>
              <w:tabs>
                <w:tab w:val="left" w:pos="19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  <w:r w:rsidR="003A64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9B7" w:rsidRPr="00522D94" w:rsidRDefault="003A64E9" w:rsidP="00756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7359B7"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бъекты налогообложения, включенные в перечень, определяемый в соответствии с пунктом 7 статьи 378.2 НК РФ;</w:t>
            </w:r>
          </w:p>
          <w:p w:rsidR="007359B7" w:rsidRPr="00522D94" w:rsidRDefault="003A64E9" w:rsidP="00756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7359B7"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бъекты налогообложения, предусмотренные </w:t>
            </w:r>
            <w:r w:rsidR="007359B7"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абзацем вторым пункта 10 статьи 378.2 НК РФ;</w:t>
            </w:r>
          </w:p>
          <w:p w:rsidR="007359B7" w:rsidRPr="00522D94" w:rsidRDefault="003A64E9" w:rsidP="0075652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7359B7"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бъекты налогообложения, кадастровая стоимость каждого из которых превышает 300 000 000 рублей</w:t>
            </w:r>
          </w:p>
        </w:tc>
      </w:tr>
      <w:tr w:rsidR="007359B7" w:rsidRPr="00522D94" w:rsidTr="00FF120A">
        <w:trPr>
          <w:trHeight w:val="67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522D94" w:rsidRDefault="007359B7" w:rsidP="0075652D">
            <w:pPr>
              <w:tabs>
                <w:tab w:val="left" w:pos="19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9B7" w:rsidRPr="00522D94" w:rsidRDefault="007359B7" w:rsidP="007565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9B7" w:rsidRPr="00522D94" w:rsidRDefault="007359B7" w:rsidP="007565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59B7" w:rsidRPr="00522D94" w:rsidTr="00FF12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9B7" w:rsidRPr="00522D94" w:rsidRDefault="007359B7" w:rsidP="0075652D">
            <w:pPr>
              <w:tabs>
                <w:tab w:val="left" w:pos="1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ab/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120A" w:rsidRPr="00522D94" w:rsidRDefault="00FF120A" w:rsidP="007359B7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9B7" w:rsidRPr="00522D94" w:rsidRDefault="0005107A" w:rsidP="00756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7359B7"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рочие объекты налогообложения</w:t>
            </w:r>
          </w:p>
        </w:tc>
      </w:tr>
    </w:tbl>
    <w:p w:rsidR="007359B7" w:rsidRPr="00522D94" w:rsidRDefault="007359B7" w:rsidP="00817E02">
      <w:pPr>
        <w:tabs>
          <w:tab w:val="left" w:pos="132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.». </w:t>
      </w:r>
      <w:r w:rsidRPr="00522D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359B7" w:rsidRPr="00522D94" w:rsidRDefault="007359B7" w:rsidP="007359B7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522D9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1.3. </w:t>
      </w:r>
      <w:r w:rsidR="00ED3C3D" w:rsidRPr="00522D9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Дополнить </w:t>
      </w:r>
      <w:r w:rsidR="00912887">
        <w:rPr>
          <w:rFonts w:ascii="Times New Roman" w:eastAsia="SimSun" w:hAnsi="Times New Roman" w:cs="Times New Roman"/>
          <w:sz w:val="28"/>
          <w:szCs w:val="28"/>
          <w:lang w:eastAsia="ru-RU"/>
        </w:rPr>
        <w:t>р</w:t>
      </w:r>
      <w:r w:rsidR="00ED3C3D" w:rsidRPr="00522D9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ешение </w:t>
      </w:r>
      <w:r w:rsidRPr="00522D94">
        <w:rPr>
          <w:rFonts w:ascii="Times New Roman" w:eastAsia="SimSun" w:hAnsi="Times New Roman" w:cs="Times New Roman"/>
          <w:sz w:val="28"/>
          <w:szCs w:val="28"/>
          <w:lang w:eastAsia="ru-RU"/>
        </w:rPr>
        <w:t>пункт</w:t>
      </w:r>
      <w:r w:rsidR="00ED3C3D" w:rsidRPr="00522D94">
        <w:rPr>
          <w:rFonts w:ascii="Times New Roman" w:eastAsia="SimSun" w:hAnsi="Times New Roman" w:cs="Times New Roman"/>
          <w:sz w:val="28"/>
          <w:szCs w:val="28"/>
          <w:lang w:eastAsia="ru-RU"/>
        </w:rPr>
        <w:t>ом</w:t>
      </w:r>
      <w:r w:rsidR="00D8604A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2</w:t>
      </w:r>
      <w:r w:rsidR="00ED3C3D" w:rsidRPr="00522D94">
        <w:rPr>
          <w:rFonts w:ascii="Times New Roman" w:eastAsia="SimSun" w:hAnsi="Times New Roman" w:cs="Times New Roman"/>
          <w:sz w:val="28"/>
          <w:szCs w:val="28"/>
          <w:lang w:eastAsia="ru-RU"/>
        </w:rPr>
        <w:t>.2</w:t>
      </w:r>
      <w:r w:rsidRPr="00522D9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следующе</w:t>
      </w:r>
      <w:r w:rsidR="00ED3C3D" w:rsidRPr="00522D94">
        <w:rPr>
          <w:rFonts w:ascii="Times New Roman" w:eastAsia="SimSun" w:hAnsi="Times New Roman" w:cs="Times New Roman"/>
          <w:sz w:val="28"/>
          <w:szCs w:val="28"/>
          <w:lang w:eastAsia="ru-RU"/>
        </w:rPr>
        <w:t>го содержания</w:t>
      </w:r>
      <w:r w:rsidRPr="00522D94">
        <w:rPr>
          <w:rFonts w:ascii="Times New Roman" w:eastAsia="SimSun" w:hAnsi="Times New Roman" w:cs="Times New Roman"/>
          <w:sz w:val="28"/>
          <w:szCs w:val="28"/>
          <w:lang w:eastAsia="ru-RU"/>
        </w:rPr>
        <w:t>:</w:t>
      </w:r>
    </w:p>
    <w:p w:rsidR="007359B7" w:rsidRPr="00522D94" w:rsidRDefault="007359B7" w:rsidP="00522D94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r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>«</w:t>
      </w:r>
      <w:r w:rsidR="00817E02"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>2</w:t>
      </w:r>
      <w:r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>.</w:t>
      </w:r>
      <w:r w:rsidR="00ED3C3D"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>2.</w:t>
      </w:r>
      <w:r w:rsidR="004B5294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</w:t>
      </w:r>
      <w:r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Установить налоговые ставки </w:t>
      </w:r>
      <w:proofErr w:type="gramStart"/>
      <w:r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>налога</w:t>
      </w:r>
      <w:proofErr w:type="gramEnd"/>
      <w:r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на имущество физических лиц исходя из кадастровой стоимости объектов налогообложения в следующих размерах:</w:t>
      </w:r>
    </w:p>
    <w:tbl>
      <w:tblPr>
        <w:tblW w:w="936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7"/>
        <w:gridCol w:w="2127"/>
        <w:gridCol w:w="6666"/>
      </w:tblGrid>
      <w:tr w:rsidR="007359B7" w:rsidRPr="00522D94" w:rsidTr="0075652D">
        <w:trPr>
          <w:trHeight w:val="7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59B7" w:rsidRPr="00522D94" w:rsidRDefault="007359B7" w:rsidP="0075652D">
            <w:pPr>
              <w:tabs>
                <w:tab w:val="left" w:pos="14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359B7" w:rsidRPr="00522D94" w:rsidRDefault="007359B7" w:rsidP="0075652D">
            <w:pPr>
              <w:tabs>
                <w:tab w:val="left" w:pos="14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9B7" w:rsidRPr="00522D94" w:rsidRDefault="007359B7" w:rsidP="0075652D">
            <w:pPr>
              <w:tabs>
                <w:tab w:val="left" w:pos="14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Налоговая ставка, %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9B7" w:rsidRPr="00522D94" w:rsidRDefault="007359B7" w:rsidP="0075652D">
            <w:pPr>
              <w:tabs>
                <w:tab w:val="left" w:pos="20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Объекты налогообложения</w:t>
            </w:r>
          </w:p>
        </w:tc>
      </w:tr>
      <w:tr w:rsidR="00FF120A" w:rsidRPr="00522D94" w:rsidTr="0075652D">
        <w:trPr>
          <w:trHeight w:val="37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20A" w:rsidRPr="00522D94" w:rsidRDefault="00FF120A" w:rsidP="0075652D">
            <w:pPr>
              <w:tabs>
                <w:tab w:val="left" w:pos="176"/>
                <w:tab w:val="left" w:pos="34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1</w:t>
            </w:r>
          </w:p>
          <w:p w:rsidR="00FF120A" w:rsidRPr="00522D94" w:rsidRDefault="00FF120A" w:rsidP="0075652D">
            <w:pPr>
              <w:tabs>
                <w:tab w:val="left" w:pos="15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20A" w:rsidRPr="00522D94" w:rsidRDefault="00FF120A" w:rsidP="007359B7">
            <w:pPr>
              <w:tabs>
                <w:tab w:val="left" w:pos="14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20A" w:rsidRPr="00522D94" w:rsidRDefault="004B5294" w:rsidP="004B5294">
            <w:pPr>
              <w:tabs>
                <w:tab w:val="left" w:pos="20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ж</w:t>
            </w:r>
            <w:r w:rsidR="00FF120A"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илые дома, части жилых домов</w:t>
            </w:r>
          </w:p>
        </w:tc>
      </w:tr>
      <w:tr w:rsidR="00FF120A" w:rsidRPr="00522D94" w:rsidTr="004B5294">
        <w:trPr>
          <w:trHeight w:val="10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120A" w:rsidRPr="00522D94" w:rsidRDefault="00FF120A" w:rsidP="0075652D">
            <w:pPr>
              <w:tabs>
                <w:tab w:val="left" w:pos="15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120A" w:rsidRPr="00522D94" w:rsidRDefault="00FF120A" w:rsidP="0075652D">
            <w:pPr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20A" w:rsidRPr="00522D94" w:rsidRDefault="004B5294" w:rsidP="00756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к</w:t>
            </w:r>
            <w:r w:rsidR="00FF120A"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вартиры, части квартир,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F120A"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комнаты;</w:t>
            </w:r>
          </w:p>
          <w:p w:rsidR="00FF120A" w:rsidRPr="00522D94" w:rsidRDefault="004B5294" w:rsidP="004B52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е</w:t>
            </w:r>
            <w:r w:rsidR="00FF120A"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диные недвижимые комплексы, в состав которых входит хотя бы один жилой дом</w:t>
            </w:r>
            <w:r w:rsidR="00FF1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FF120A" w:rsidRPr="00522D94" w:rsidTr="004B5294">
        <w:trPr>
          <w:trHeight w:val="420"/>
        </w:trPr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F120A" w:rsidRPr="00522D94" w:rsidRDefault="00FF120A" w:rsidP="0075652D">
            <w:pPr>
              <w:tabs>
                <w:tab w:val="left" w:pos="15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120A" w:rsidRPr="00522D94" w:rsidRDefault="00FF120A" w:rsidP="007359B7">
            <w:pPr>
              <w:tabs>
                <w:tab w:val="left" w:pos="459"/>
                <w:tab w:val="left" w:pos="34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20A" w:rsidRPr="00522D94" w:rsidRDefault="004B5294" w:rsidP="00FF12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</w:t>
            </w:r>
            <w:r w:rsidR="00FF120A"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  <w:r w:rsidR="00FF120A"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озяйственные строения или сооружения, площадь каждого из которых не превышает 50 кв.м.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</w:t>
            </w:r>
          </w:p>
          <w:p w:rsidR="00FF120A" w:rsidRDefault="004B5294" w:rsidP="004B52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5)</w:t>
            </w:r>
            <w:r w:rsidR="00FF120A"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FF120A"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аражи и машино-места, в том числе расположенные в объектах налогообложения, указанных в строке </w:t>
            </w:r>
            <w:r w:rsidR="009C7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FF120A"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таблицы</w:t>
            </w:r>
          </w:p>
        </w:tc>
      </w:tr>
      <w:tr w:rsidR="007359B7" w:rsidRPr="00522D94" w:rsidTr="00FF120A">
        <w:trPr>
          <w:trHeight w:val="2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59B7" w:rsidRPr="00522D94" w:rsidRDefault="007359B7" w:rsidP="0075652D">
            <w:pPr>
              <w:tabs>
                <w:tab w:val="left" w:pos="1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FF120A" w:rsidRPr="00522D94" w:rsidRDefault="00FF120A" w:rsidP="007359B7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9B7" w:rsidRPr="00522D94" w:rsidRDefault="004B5294" w:rsidP="00756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7359B7"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бъекты незавершенного строительства в случае, если проектируемым назначением таких объектов является жилой дом</w:t>
            </w:r>
          </w:p>
        </w:tc>
      </w:tr>
      <w:tr w:rsidR="007359B7" w:rsidRPr="00522D94" w:rsidTr="007565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59B7" w:rsidRPr="00522D94" w:rsidRDefault="007359B7" w:rsidP="0075652D">
            <w:pPr>
              <w:tabs>
                <w:tab w:val="left" w:pos="1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3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120A" w:rsidRPr="00522D94" w:rsidRDefault="00FF120A" w:rsidP="007359B7">
            <w:pPr>
              <w:tabs>
                <w:tab w:val="left" w:pos="19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6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9B7" w:rsidRPr="00522D94" w:rsidRDefault="004B5294" w:rsidP="00756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7359B7"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бъекты налогообложения, включенные в перечень, определяемый в соответствии с пунктом 7 статьи 378.2 НК РФ;</w:t>
            </w:r>
          </w:p>
          <w:p w:rsidR="007359B7" w:rsidRPr="00522D94" w:rsidRDefault="004B5294" w:rsidP="00756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7359B7"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бъекты налогообложения, предусмотренные абзацем вторым пункта 10 статьи 378.2 НК РФ;</w:t>
            </w:r>
          </w:p>
          <w:p w:rsidR="007359B7" w:rsidRPr="00522D94" w:rsidRDefault="004B5294" w:rsidP="0075652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7359B7"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бъекты налогообложения, кадастровая стоимость каждого из которых превышает 300 000 000 рублей</w:t>
            </w:r>
          </w:p>
        </w:tc>
      </w:tr>
      <w:tr w:rsidR="007359B7" w:rsidRPr="00522D94" w:rsidTr="0075652D">
        <w:trPr>
          <w:trHeight w:val="67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522D94" w:rsidRDefault="007359B7" w:rsidP="0075652D">
            <w:pPr>
              <w:tabs>
                <w:tab w:val="left" w:pos="19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9B7" w:rsidRPr="00522D94" w:rsidRDefault="007359B7" w:rsidP="007565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9B7" w:rsidRPr="00522D94" w:rsidRDefault="007359B7" w:rsidP="007565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59B7" w:rsidRPr="00522D94" w:rsidTr="007565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9B7" w:rsidRPr="00522D94" w:rsidRDefault="007359B7" w:rsidP="0075652D">
            <w:pPr>
              <w:tabs>
                <w:tab w:val="left" w:pos="1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59B7" w:rsidRPr="00522D94" w:rsidRDefault="00FF120A" w:rsidP="00FF120A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  <w:r w:rsidR="007359B7"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9B7" w:rsidRPr="00522D94" w:rsidRDefault="004B5294" w:rsidP="00756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7359B7" w:rsidRPr="00522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рочие объекты налогообложения</w:t>
            </w:r>
          </w:p>
        </w:tc>
      </w:tr>
    </w:tbl>
    <w:p w:rsidR="007359B7" w:rsidRDefault="007359B7" w:rsidP="007359B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D94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</w:p>
    <w:p w:rsidR="00347408" w:rsidRPr="00912887" w:rsidRDefault="00D8604A" w:rsidP="00347408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1.4.</w:t>
      </w:r>
      <w:r w:rsidRPr="00D8604A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Pr="00522D9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Дополнить </w:t>
      </w:r>
      <w:r w:rsidR="00263A82">
        <w:rPr>
          <w:rFonts w:ascii="Times New Roman" w:eastAsia="SimSun" w:hAnsi="Times New Roman" w:cs="Times New Roman"/>
          <w:sz w:val="28"/>
          <w:szCs w:val="28"/>
          <w:lang w:eastAsia="ru-RU"/>
        </w:rPr>
        <w:t>р</w:t>
      </w:r>
      <w:r w:rsidRPr="00522D94">
        <w:rPr>
          <w:rFonts w:ascii="Times New Roman" w:eastAsia="SimSun" w:hAnsi="Times New Roman" w:cs="Times New Roman"/>
          <w:sz w:val="28"/>
          <w:szCs w:val="28"/>
          <w:lang w:eastAsia="ru-RU"/>
        </w:rPr>
        <w:t>ешение пунктом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Pr="00522D94">
        <w:rPr>
          <w:rFonts w:ascii="Times New Roman" w:eastAsia="SimSu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.3</w:t>
      </w:r>
      <w:r w:rsidRPr="00522D9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следующего содержания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: </w:t>
      </w:r>
      <w:r w:rsidRPr="00912887">
        <w:rPr>
          <w:rFonts w:ascii="Times New Roman" w:eastAsia="SimSun" w:hAnsi="Times New Roman" w:cs="Times New Roman"/>
          <w:sz w:val="28"/>
          <w:szCs w:val="28"/>
          <w:lang w:eastAsia="ru-RU"/>
        </w:rPr>
        <w:t>«</w:t>
      </w:r>
      <w:r w:rsidR="00347408" w:rsidRPr="00912887">
        <w:rPr>
          <w:rFonts w:ascii="Times New Roman" w:hAnsi="Times New Roman" w:cs="Times New Roman"/>
          <w:sz w:val="28"/>
          <w:szCs w:val="28"/>
        </w:rPr>
        <w:t xml:space="preserve">Освободить от уплаты налога на имущество физических лиц в размере 50% от суммы исчисленного налога налогоплательщиков - членов многодетных семей, имеющих четырех и более несовершеннолетних детей в отношении одного объекта налогообложения, </w:t>
      </w:r>
      <w:r w:rsidR="00DD1D4E" w:rsidRPr="00912887">
        <w:rPr>
          <w:rFonts w:ascii="Times New Roman" w:hAnsi="Times New Roman"/>
          <w:sz w:val="28"/>
          <w:szCs w:val="28"/>
          <w:lang w:eastAsia="ru-RU"/>
        </w:rPr>
        <w:t xml:space="preserve">соответствующего требованиям пунктов 4-5 </w:t>
      </w:r>
      <w:r w:rsidR="00DD1D4E" w:rsidRPr="00912887">
        <w:rPr>
          <w:rFonts w:ascii="Times New Roman" w:hAnsi="Times New Roman"/>
          <w:sz w:val="28"/>
          <w:szCs w:val="28"/>
        </w:rPr>
        <w:t>статьи 407 Налогового кодекса Российской Федерации</w:t>
      </w:r>
      <w:r w:rsidR="00347408" w:rsidRPr="00912887">
        <w:rPr>
          <w:rFonts w:ascii="Times New Roman" w:hAnsi="Times New Roman" w:cs="Times New Roman"/>
          <w:sz w:val="28"/>
          <w:szCs w:val="28"/>
        </w:rPr>
        <w:t>.</w:t>
      </w:r>
    </w:p>
    <w:p w:rsidR="00D8604A" w:rsidRPr="00912887" w:rsidRDefault="00347408" w:rsidP="0034740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12887">
        <w:rPr>
          <w:rFonts w:ascii="Times New Roman" w:eastAsia="Calibri" w:hAnsi="Times New Roman" w:cs="Times New Roman"/>
          <w:sz w:val="28"/>
          <w:szCs w:val="28"/>
        </w:rPr>
        <w:t>Льготы налогоплательщикам - физическим лицам предоставляются на основании заявления в порядке, установленном пунктом 6 статьи 407 Налогового кодекса Российской Федерации</w:t>
      </w:r>
      <w:proofErr w:type="gramStart"/>
      <w:r w:rsidRPr="00912887">
        <w:rPr>
          <w:rFonts w:ascii="Times New Roman" w:eastAsia="Calibri" w:hAnsi="Times New Roman" w:cs="Times New Roman"/>
          <w:sz w:val="28"/>
          <w:szCs w:val="28"/>
        </w:rPr>
        <w:t>.</w:t>
      </w:r>
      <w:r w:rsidR="00D8604A" w:rsidRPr="00912887">
        <w:rPr>
          <w:rFonts w:ascii="Times New Roman" w:eastAsia="SimSun" w:hAnsi="Times New Roman" w:cs="Times New Roman"/>
          <w:sz w:val="28"/>
          <w:szCs w:val="28"/>
          <w:lang w:eastAsia="ru-RU"/>
        </w:rPr>
        <w:t>».</w:t>
      </w:r>
      <w:r w:rsidR="004B5294" w:rsidRPr="0091288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817E02" w:rsidRPr="00522D94" w:rsidRDefault="007359B7" w:rsidP="007359B7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r w:rsidRPr="00912887">
        <w:rPr>
          <w:rFonts w:ascii="Times New Roman" w:eastAsia="SimSun" w:hAnsi="Times New Roman" w:cs="Times New Roman"/>
          <w:sz w:val="28"/>
          <w:szCs w:val="28"/>
          <w:lang w:eastAsia="ar-SA"/>
        </w:rPr>
        <w:lastRenderedPageBreak/>
        <w:t xml:space="preserve">2. </w:t>
      </w:r>
      <w:r w:rsidR="00522D94" w:rsidRPr="00912887">
        <w:rPr>
          <w:rFonts w:ascii="Times New Roman" w:eastAsia="SimSun" w:hAnsi="Times New Roman" w:cs="Times New Roman"/>
          <w:sz w:val="28"/>
          <w:szCs w:val="28"/>
          <w:lang w:eastAsia="ar-SA"/>
        </w:rPr>
        <w:t>Признать утратившим силу решени</w:t>
      </w:r>
      <w:r w:rsidR="00D9706E" w:rsidRPr="00912887">
        <w:rPr>
          <w:rFonts w:ascii="Times New Roman" w:eastAsia="SimSun" w:hAnsi="Times New Roman" w:cs="Times New Roman"/>
          <w:sz w:val="28"/>
          <w:szCs w:val="28"/>
          <w:lang w:eastAsia="ar-SA"/>
        </w:rPr>
        <w:t>е</w:t>
      </w:r>
      <w:r w:rsidR="00522D94" w:rsidRPr="00912887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Совета</w:t>
      </w:r>
      <w:r w:rsidR="00522D94"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Старонижестеблиевского сельского поселения Красноармейског</w:t>
      </w:r>
      <w:r w:rsidR="00522D94">
        <w:rPr>
          <w:rFonts w:ascii="Times New Roman" w:eastAsia="SimSun" w:hAnsi="Times New Roman" w:cs="Times New Roman"/>
          <w:sz w:val="28"/>
          <w:szCs w:val="28"/>
          <w:lang w:eastAsia="ar-SA"/>
        </w:rPr>
        <w:t>о</w:t>
      </w:r>
      <w:r w:rsidR="00522D94"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района от 10 июля 2018 года № 54</w:t>
      </w:r>
      <w:r w:rsidR="00D9706E">
        <w:rPr>
          <w:rFonts w:ascii="Times New Roman" w:eastAsia="SimSun" w:hAnsi="Times New Roman" w:cs="Times New Roman"/>
          <w:sz w:val="28"/>
          <w:szCs w:val="28"/>
          <w:lang w:eastAsia="ar-SA"/>
        </w:rPr>
        <w:t>/</w:t>
      </w:r>
      <w:r w:rsidR="00522D94"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>2 «О внесении изменений в решение Совета Старонижестеблиевского сельского поселения Красноармейского района от 27 октября 2016 года № 43 «О налоге на имущество физических лиц».</w:t>
      </w:r>
    </w:p>
    <w:p w:rsidR="007359B7" w:rsidRPr="00522D94" w:rsidRDefault="00817E02" w:rsidP="007359B7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r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>3</w:t>
      </w:r>
      <w:r w:rsidR="00522D94"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. </w:t>
      </w:r>
      <w:r w:rsidR="007359B7"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>Настоящее решение подлежит официальному опубликованию.</w:t>
      </w:r>
    </w:p>
    <w:p w:rsidR="007359B7" w:rsidRPr="00522D94" w:rsidRDefault="00817E02" w:rsidP="007359B7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r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>4</w:t>
      </w:r>
      <w:r w:rsidR="007359B7"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. </w:t>
      </w:r>
      <w:r w:rsidR="007359B7" w:rsidRPr="00522D94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>Копию настоящего решения</w:t>
      </w:r>
      <w:r w:rsidR="007359B7"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направить в Межрайонную инспекцию Федеральной налоговой службы России № </w:t>
      </w:r>
      <w:r w:rsidR="00CB51E3"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>11</w:t>
      </w:r>
      <w:r w:rsidR="008D2E57"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</w:t>
      </w:r>
      <w:r w:rsidR="007359B7"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>по Краснодарскому краю для руководства в работе.</w:t>
      </w:r>
    </w:p>
    <w:p w:rsidR="007359B7" w:rsidRPr="00522D94" w:rsidRDefault="00817E02" w:rsidP="007359B7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r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>5</w:t>
      </w:r>
      <w:r w:rsidR="007359B7"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>. Опубликовать настоящее решение в газете «</w:t>
      </w:r>
      <w:r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>Голос правды</w:t>
      </w:r>
      <w:r w:rsidR="007359B7"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» и разместить на официальном сайте </w:t>
      </w:r>
      <w:r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>Старонижестеблиевского</w:t>
      </w:r>
      <w:r w:rsidR="007359B7"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</w:t>
      </w:r>
      <w:r w:rsidR="00E3671B"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сельского </w:t>
      </w:r>
      <w:r w:rsidR="007359B7"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поселения </w:t>
      </w:r>
      <w:r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>Красноармейского</w:t>
      </w:r>
      <w:r w:rsidR="007359B7"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района в информационно-телекоммуникационной сети «Интернет».</w:t>
      </w:r>
    </w:p>
    <w:p w:rsidR="007359B7" w:rsidRPr="00522D94" w:rsidRDefault="00817E02" w:rsidP="00817E02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r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>6</w:t>
      </w:r>
      <w:r w:rsidR="007359B7"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. </w:t>
      </w:r>
      <w:r w:rsidRPr="00522D94">
        <w:rPr>
          <w:rFonts w:ascii="Times New Roman" w:eastAsia="Calibri" w:hAnsi="Times New Roman" w:cs="Times New Roman"/>
          <w:sz w:val="28"/>
          <w:szCs w:val="28"/>
        </w:rPr>
        <w:t>Контроль за выполнением настоящего решения возложить на постоянную комиссию по вопросам экономики, бюджету, налогам и распоряжению муниципальной собственностью (Борисенкова).</w:t>
      </w:r>
    </w:p>
    <w:p w:rsidR="007359B7" w:rsidRPr="00522D94" w:rsidRDefault="00817E02" w:rsidP="007359B7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r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>7</w:t>
      </w:r>
      <w:r w:rsidR="007359B7"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. Подпункт 1.1 пункта 1 настоящего решения вступает в силу со дня его официального опубликования и распространяется на правоотношения, связанные с исчислением налога на имущество физических лиц с 1 января 2017 </w:t>
      </w:r>
      <w:r w:rsidR="008D2E57"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года </w:t>
      </w:r>
      <w:r w:rsidR="007359B7"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>по 31 декабря 2017 года.</w:t>
      </w:r>
    </w:p>
    <w:p w:rsidR="007359B7" w:rsidRPr="00522D94" w:rsidRDefault="00817E02" w:rsidP="007359B7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r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>8</w:t>
      </w:r>
      <w:r w:rsidR="007359B7"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. Подпункт 1.2 пункта 1 настоящего решения вступает в силу со дня его официального опубликования и распространяется на правоотношения, </w:t>
      </w:r>
      <w:r w:rsidR="00ED3C3D"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>возникшие</w:t>
      </w:r>
      <w:r w:rsidR="007359B7"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с 1 января 2018</w:t>
      </w:r>
      <w:r w:rsidR="008D2E57"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года</w:t>
      </w:r>
      <w:r w:rsidR="007359B7"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>.</w:t>
      </w:r>
    </w:p>
    <w:p w:rsidR="007359B7" w:rsidRPr="00522D94" w:rsidRDefault="00817E02" w:rsidP="007359B7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r w:rsidRPr="00912887">
        <w:rPr>
          <w:rFonts w:ascii="Times New Roman" w:eastAsia="SimSun" w:hAnsi="Times New Roman" w:cs="Times New Roman"/>
          <w:sz w:val="28"/>
          <w:szCs w:val="28"/>
          <w:lang w:eastAsia="ar-SA"/>
        </w:rPr>
        <w:t>9</w:t>
      </w:r>
      <w:r w:rsidR="007359B7" w:rsidRPr="00912887">
        <w:rPr>
          <w:rFonts w:ascii="Times New Roman" w:eastAsia="SimSun" w:hAnsi="Times New Roman" w:cs="Times New Roman"/>
          <w:sz w:val="28"/>
          <w:szCs w:val="28"/>
          <w:lang w:eastAsia="ar-SA"/>
        </w:rPr>
        <w:t>. Подпункт</w:t>
      </w:r>
      <w:r w:rsidR="00C62B05" w:rsidRPr="00912887">
        <w:rPr>
          <w:rFonts w:ascii="Times New Roman" w:eastAsia="SimSun" w:hAnsi="Times New Roman" w:cs="Times New Roman"/>
          <w:sz w:val="28"/>
          <w:szCs w:val="28"/>
          <w:lang w:eastAsia="ar-SA"/>
        </w:rPr>
        <w:t>ы</w:t>
      </w:r>
      <w:r w:rsidR="007359B7" w:rsidRPr="00912887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1.3</w:t>
      </w:r>
      <w:r w:rsidR="00D8604A" w:rsidRPr="00912887">
        <w:rPr>
          <w:rFonts w:ascii="Times New Roman" w:eastAsia="SimSun" w:hAnsi="Times New Roman" w:cs="Times New Roman"/>
          <w:sz w:val="28"/>
          <w:szCs w:val="28"/>
          <w:lang w:eastAsia="ar-SA"/>
        </w:rPr>
        <w:t>, 1.</w:t>
      </w:r>
      <w:r w:rsidR="00D8604A">
        <w:rPr>
          <w:rFonts w:ascii="Times New Roman" w:eastAsia="SimSun" w:hAnsi="Times New Roman" w:cs="Times New Roman"/>
          <w:sz w:val="28"/>
          <w:szCs w:val="28"/>
          <w:lang w:eastAsia="ar-SA"/>
        </w:rPr>
        <w:t>4</w:t>
      </w:r>
      <w:r w:rsidR="007359B7"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пункта 1 настоящего решения вступа</w:t>
      </w:r>
      <w:r w:rsidR="00C62B05">
        <w:rPr>
          <w:rFonts w:ascii="Times New Roman" w:eastAsia="SimSun" w:hAnsi="Times New Roman" w:cs="Times New Roman"/>
          <w:sz w:val="28"/>
          <w:szCs w:val="28"/>
          <w:lang w:eastAsia="ar-SA"/>
        </w:rPr>
        <w:t>ю</w:t>
      </w:r>
      <w:r w:rsidR="007359B7" w:rsidRPr="00522D94">
        <w:rPr>
          <w:rFonts w:ascii="Times New Roman" w:eastAsia="SimSun" w:hAnsi="Times New Roman" w:cs="Times New Roman"/>
          <w:sz w:val="28"/>
          <w:szCs w:val="28"/>
          <w:lang w:eastAsia="ar-SA"/>
        </w:rPr>
        <w:t>т в силу с 1 января 2019 года, но не ранее чем по истечении одного месяца со дня его официального опубликования.</w:t>
      </w:r>
    </w:p>
    <w:p w:rsidR="007359B7" w:rsidRPr="00522D94" w:rsidRDefault="00817E02" w:rsidP="007359B7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iCs/>
          <w:sz w:val="28"/>
          <w:szCs w:val="28"/>
          <w:lang w:eastAsia="ar-SA"/>
        </w:rPr>
      </w:pPr>
      <w:r w:rsidRPr="00522D94">
        <w:rPr>
          <w:rFonts w:ascii="Times New Roman" w:eastAsia="SimSun" w:hAnsi="Times New Roman" w:cs="Times New Roman"/>
          <w:iCs/>
          <w:sz w:val="28"/>
          <w:szCs w:val="28"/>
          <w:lang w:eastAsia="ar-SA"/>
        </w:rPr>
        <w:t>10</w:t>
      </w:r>
      <w:r w:rsidR="00522D94" w:rsidRPr="00522D94">
        <w:rPr>
          <w:rFonts w:ascii="Times New Roman" w:eastAsia="SimSun" w:hAnsi="Times New Roman" w:cs="Times New Roman"/>
          <w:iCs/>
          <w:sz w:val="28"/>
          <w:szCs w:val="28"/>
          <w:lang w:eastAsia="ar-SA"/>
        </w:rPr>
        <w:t>. Пункты 2-6</w:t>
      </w:r>
      <w:r w:rsidR="00816387" w:rsidRPr="00522D94">
        <w:rPr>
          <w:rFonts w:ascii="Times New Roman" w:eastAsia="SimSun" w:hAnsi="Times New Roman" w:cs="Times New Roman"/>
          <w:iCs/>
          <w:sz w:val="28"/>
          <w:szCs w:val="28"/>
          <w:lang w:eastAsia="ar-SA"/>
        </w:rPr>
        <w:t xml:space="preserve"> настоящего решения вступают в силу со дня его официального опубликования.</w:t>
      </w:r>
      <w:bookmarkStart w:id="0" w:name="_GoBack"/>
      <w:bookmarkEnd w:id="0"/>
    </w:p>
    <w:p w:rsidR="00816387" w:rsidRDefault="00816387" w:rsidP="00522D94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iCs/>
          <w:sz w:val="28"/>
          <w:szCs w:val="28"/>
          <w:lang w:eastAsia="ar-SA"/>
        </w:rPr>
      </w:pPr>
    </w:p>
    <w:p w:rsidR="00522D94" w:rsidRDefault="00522D94" w:rsidP="00522D94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iCs/>
          <w:sz w:val="28"/>
          <w:szCs w:val="28"/>
          <w:lang w:eastAsia="ar-SA"/>
        </w:rPr>
      </w:pPr>
    </w:p>
    <w:p w:rsidR="00522D94" w:rsidRPr="00522D94" w:rsidRDefault="00522D94" w:rsidP="00522D94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iCs/>
          <w:sz w:val="28"/>
          <w:szCs w:val="28"/>
          <w:lang w:eastAsia="ar-SA"/>
        </w:rPr>
      </w:pPr>
    </w:p>
    <w:p w:rsidR="00522D94" w:rsidRPr="00522D94" w:rsidRDefault="00522D94" w:rsidP="00522D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2D94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522D94" w:rsidRPr="00522D94" w:rsidRDefault="00522D94" w:rsidP="00522D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2D94">
        <w:rPr>
          <w:rFonts w:ascii="Times New Roman" w:hAnsi="Times New Roman" w:cs="Times New Roman"/>
          <w:sz w:val="28"/>
          <w:szCs w:val="28"/>
        </w:rPr>
        <w:t>Старонижестеблиевского</w:t>
      </w:r>
    </w:p>
    <w:p w:rsidR="00522D94" w:rsidRPr="00522D94" w:rsidRDefault="00522D94" w:rsidP="00522D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2D94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522D94" w:rsidRDefault="00522D94" w:rsidP="00522D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2D94">
        <w:rPr>
          <w:rFonts w:ascii="Times New Roman" w:hAnsi="Times New Roman" w:cs="Times New Roman"/>
          <w:sz w:val="28"/>
          <w:szCs w:val="28"/>
        </w:rPr>
        <w:t>Красноармейского района                                                                Т.В.Дьяченко</w:t>
      </w:r>
    </w:p>
    <w:p w:rsidR="00522D94" w:rsidRPr="00522D94" w:rsidRDefault="00522D94" w:rsidP="00522D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2D94" w:rsidRPr="00522D94" w:rsidRDefault="00522D94" w:rsidP="00522D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D94">
        <w:rPr>
          <w:rFonts w:ascii="Times New Roman" w:hAnsi="Times New Roman" w:cs="Times New Roman"/>
          <w:sz w:val="28"/>
          <w:szCs w:val="28"/>
        </w:rPr>
        <w:t>Глава</w:t>
      </w:r>
    </w:p>
    <w:p w:rsidR="00522D94" w:rsidRPr="00522D94" w:rsidRDefault="00522D94" w:rsidP="00522D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D94">
        <w:rPr>
          <w:rFonts w:ascii="Times New Roman" w:hAnsi="Times New Roman" w:cs="Times New Roman"/>
          <w:sz w:val="28"/>
          <w:szCs w:val="28"/>
        </w:rPr>
        <w:t>Старонижестеблиевского</w:t>
      </w:r>
    </w:p>
    <w:p w:rsidR="00522D94" w:rsidRPr="00522D94" w:rsidRDefault="00522D94" w:rsidP="00522D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D94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359B7" w:rsidRPr="00D8604A" w:rsidRDefault="00522D94" w:rsidP="00D860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D94">
        <w:rPr>
          <w:rFonts w:ascii="Times New Roman" w:hAnsi="Times New Roman" w:cs="Times New Roman"/>
          <w:sz w:val="28"/>
          <w:szCs w:val="28"/>
        </w:rPr>
        <w:t>Красноармейского района                                                                      В.В.Новак</w:t>
      </w:r>
    </w:p>
    <w:sectPr w:rsidR="007359B7" w:rsidRPr="00D8604A" w:rsidSect="00522D94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59B7"/>
    <w:rsid w:val="0005107A"/>
    <w:rsid w:val="001E4484"/>
    <w:rsid w:val="00202BFB"/>
    <w:rsid w:val="00263A82"/>
    <w:rsid w:val="00347408"/>
    <w:rsid w:val="003A64E9"/>
    <w:rsid w:val="003F2694"/>
    <w:rsid w:val="00411410"/>
    <w:rsid w:val="00450FDC"/>
    <w:rsid w:val="004B3143"/>
    <w:rsid w:val="004B5294"/>
    <w:rsid w:val="004F7EF5"/>
    <w:rsid w:val="00522D94"/>
    <w:rsid w:val="007359B7"/>
    <w:rsid w:val="0075652D"/>
    <w:rsid w:val="00771C32"/>
    <w:rsid w:val="00816387"/>
    <w:rsid w:val="00817E02"/>
    <w:rsid w:val="00876ED7"/>
    <w:rsid w:val="008B7CBD"/>
    <w:rsid w:val="008D2E57"/>
    <w:rsid w:val="00912887"/>
    <w:rsid w:val="009A096B"/>
    <w:rsid w:val="009C71A7"/>
    <w:rsid w:val="00AC0D8B"/>
    <w:rsid w:val="00C55CD7"/>
    <w:rsid w:val="00C62B05"/>
    <w:rsid w:val="00CB51E3"/>
    <w:rsid w:val="00D8604A"/>
    <w:rsid w:val="00D9706E"/>
    <w:rsid w:val="00DD1D4E"/>
    <w:rsid w:val="00E3671B"/>
    <w:rsid w:val="00ED3C3D"/>
    <w:rsid w:val="00F363CE"/>
    <w:rsid w:val="00F4680F"/>
    <w:rsid w:val="00FF120A"/>
    <w:rsid w:val="00FF34F2"/>
    <w:rsid w:val="00FF5F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9B7"/>
  </w:style>
  <w:style w:type="paragraph" w:styleId="1">
    <w:name w:val="heading 1"/>
    <w:basedOn w:val="a"/>
    <w:next w:val="a"/>
    <w:link w:val="10"/>
    <w:qFormat/>
    <w:rsid w:val="00FF5F7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5F70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F5F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5F7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52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1154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Курусканова И.П.</dc:creator>
  <cp:lastModifiedBy>nalog</cp:lastModifiedBy>
  <cp:revision>21</cp:revision>
  <dcterms:created xsi:type="dcterms:W3CDTF">2018-10-08T15:35:00Z</dcterms:created>
  <dcterms:modified xsi:type="dcterms:W3CDTF">2018-11-26T10:59:00Z</dcterms:modified>
</cp:coreProperties>
</file>