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C7" w:rsidRDefault="008243C7" w:rsidP="008243C7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от 11 декабря 2014 года № 378 о строительстве</w:t>
      </w:r>
    </w:p>
    <w:bookmarkEnd w:id="0"/>
    <w:p w:rsidR="008243C7" w:rsidRDefault="008243C7" w:rsidP="008243C7">
      <w:pPr>
        <w:pStyle w:val="print-ico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0" name="Рисунок 20" descr="Print">
              <a:hlinkClick xmlns:a="http://schemas.openxmlformats.org/drawingml/2006/main" r:id="rId5" tooltip="&quot;Print article &lt; О внесении изменений в постановление от 11 декабря 2014 года № 378 о строительств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int">
                      <a:hlinkClick r:id="rId5" tooltip="&quot;Print article &lt; О внесении изменений в постановление от 11 декабря 2014 года № 378 о строительств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C7" w:rsidRDefault="008243C7" w:rsidP="008243C7">
      <w:pPr>
        <w:pStyle w:val="email-ico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9" name="Рисунок 1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8243C7" w:rsidTr="008243C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8243C7" w:rsidRDefault="008243C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8243C7" w:rsidRDefault="008243C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>ПОСТАНОВЛЕНИЕ</w:t>
            </w:r>
          </w:p>
        </w:tc>
      </w:tr>
      <w:tr w:rsidR="008243C7" w:rsidTr="008243C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«_11__»_04__2017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221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 50__</w:t>
            </w:r>
          </w:p>
        </w:tc>
      </w:tr>
      <w:tr w:rsidR="008243C7" w:rsidTr="008243C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a3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станица Старонижестеблиевская</w:t>
            </w:r>
          </w:p>
        </w:tc>
      </w:tr>
    </w:tbl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243C7" w:rsidRDefault="008243C7" w:rsidP="008243C7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8243C7" w:rsidTr="008243C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8243C7" w:rsidRDefault="008243C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от 11 декабря 2014 года № 378 «Об утверждении муниципальной</w:t>
            </w:r>
          </w:p>
          <w:p w:rsidR="008243C7" w:rsidRDefault="008243C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программы" Комплексное и устойчивое развитие в сфере строительства, архитектуры и дорожного хозяйства Старонижестеблиевского сельского</w:t>
            </w:r>
          </w:p>
          <w:p w:rsidR="008243C7" w:rsidRDefault="008243C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поселения Красноармейского района»</w:t>
            </w:r>
          </w:p>
        </w:tc>
      </w:tr>
    </w:tbl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8243C7" w:rsidTr="008243C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      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Во исполнение Федерального закона от 6 октября 2003 года № 131-ФЗ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 о с т а н о в л я ю:</w:t>
            </w:r>
          </w:p>
          <w:p w:rsidR="008243C7" w:rsidRDefault="008243C7">
            <w:pPr>
              <w:pStyle w:val="21"/>
              <w:spacing w:before="0" w:beforeAutospacing="0" w:after="0" w:afterAutospacing="0" w:line="312" w:lineRule="atLeast"/>
              <w:ind w:firstLine="709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 Внести изменение в муниципальную программу "Комплексное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района" и читать ее в настоящей редакции (прилагается).</w:t>
            </w:r>
          </w:p>
          <w:p w:rsidR="008243C7" w:rsidRDefault="008243C7">
            <w:pPr>
              <w:pStyle w:val="21"/>
              <w:spacing w:before="0" w:beforeAutospacing="0" w:after="0" w:afterAutospacing="0" w:line="312" w:lineRule="atLeast"/>
              <w:ind w:firstLine="709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 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в пределах средств утвержденных бюджетом поселения на эти цели.</w:t>
            </w:r>
          </w:p>
          <w:p w:rsidR="008243C7" w:rsidRDefault="008243C7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8243C7" w:rsidRDefault="008243C7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4. Постановление вступает в силу со дня его обнародования.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Глава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Старонижестеблиевского сельского поселения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В.В. Новак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</w:p>
    <w:p w:rsidR="008243C7" w:rsidRDefault="008243C7" w:rsidP="008243C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ЛИСТ СОГЛАСОВАНИЯ</w:t>
      </w:r>
    </w:p>
    <w:p w:rsidR="008243C7" w:rsidRDefault="008243C7" w:rsidP="008243C7">
      <w:pPr>
        <w:pStyle w:val="21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 постановлению администрации Старонижестеблиевского сельского поселения Красноармейского района от _______________ № _________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«О внесении изменений в постановление главы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8243C7" w:rsidRDefault="008243C7" w:rsidP="008243C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от 11 декабря 2014 года № 378  «Об утверждении муниципальной  программы" Комплексное и устойчивое развитие в сфере строительства, архитектуры и дорожного хозяйства Старонижестеблиевского сельского</w:t>
      </w:r>
    </w:p>
    <w:p w:rsidR="008243C7" w:rsidRDefault="008243C7" w:rsidP="008243C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поселения Красноармейского района»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268"/>
      </w:tblGrid>
      <w:tr w:rsidR="008243C7" w:rsidTr="008243C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8243C7" w:rsidTr="008243C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Проект согласован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 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8243C7" w:rsidTr="008243C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Главный специалист по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юридическим вопросам администрации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О.Н. Шестопал</w:t>
            </w:r>
          </w:p>
        </w:tc>
      </w:tr>
    </w:tbl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ind w:firstLine="567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8243C7" w:rsidRDefault="008243C7" w:rsidP="008243C7">
      <w:pPr>
        <w:shd w:val="clear" w:color="auto" w:fill="FFFFFF"/>
        <w:spacing w:line="384" w:lineRule="atLeast"/>
        <w:ind w:firstLine="567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УТВЕРЖДЕН</w:t>
      </w:r>
    </w:p>
    <w:p w:rsidR="008243C7" w:rsidRDefault="008243C7" w:rsidP="008243C7">
      <w:pPr>
        <w:shd w:val="clear" w:color="auto" w:fill="FFFFFF"/>
        <w:spacing w:line="384" w:lineRule="atLeast"/>
        <w:ind w:firstLine="567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8243C7" w:rsidRDefault="008243C7" w:rsidP="008243C7">
      <w:pPr>
        <w:shd w:val="clear" w:color="auto" w:fill="FFFFFF"/>
        <w:spacing w:line="384" w:lineRule="atLeast"/>
        <w:ind w:firstLine="567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8243C7" w:rsidRDefault="008243C7" w:rsidP="008243C7">
      <w:pPr>
        <w:shd w:val="clear" w:color="auto" w:fill="FFFFFF"/>
        <w:spacing w:line="384" w:lineRule="atLeast"/>
        <w:ind w:firstLine="567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8243C7" w:rsidRDefault="008243C7" w:rsidP="008243C7">
      <w:pPr>
        <w:shd w:val="clear" w:color="auto" w:fill="FFFFFF"/>
        <w:spacing w:line="384" w:lineRule="atLeast"/>
        <w:ind w:firstLine="567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8243C7" w:rsidRDefault="008243C7" w:rsidP="008243C7">
      <w:pPr>
        <w:shd w:val="clear" w:color="auto" w:fill="FFFFFF"/>
        <w:spacing w:line="384" w:lineRule="atLeast"/>
        <w:ind w:firstLine="567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__11.04.2017г__ № __50__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муниципальной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</w:t>
      </w:r>
    </w:p>
    <w:p w:rsidR="008243C7" w:rsidRDefault="008243C7" w:rsidP="008243C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"Комплексное и устойчивое развитие в сфере строительства, архитектуры</w:t>
      </w:r>
    </w:p>
    <w:p w:rsidR="008243C7" w:rsidRDefault="008243C7" w:rsidP="008243C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и дорожного хозяйства Старонижестеблиевского сельского поселения</w:t>
      </w:r>
    </w:p>
    <w:p w:rsidR="008243C7" w:rsidRDefault="008243C7" w:rsidP="008243C7">
      <w:pPr>
        <w:pStyle w:val="21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района" "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361"/>
      </w:tblGrid>
      <w:tr w:rsidR="008243C7" w:rsidTr="008243C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 программа</w:t>
            </w:r>
          </w:p>
          <w:p w:rsidR="008243C7" w:rsidRDefault="008243C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"Комплексное и устойчивое развитие в сфере строительства, архитектуры и дорожного</w:t>
            </w:r>
          </w:p>
          <w:p w:rsidR="008243C7" w:rsidRDefault="008243C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хозяйства Старонижестеблиевского сельского поселения Красноармейского района"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Координатор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муниципальной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Администрация Старонижестеблиевского сельского поселения Красноармейского района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23"/>
              <w:spacing w:after="0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Подпрограмма: «Реконструкция, капитальный ремонт и ремонт улично-дорожной сети Старонижестеблиевского сельского поселения Красноармейского района»;</w:t>
            </w:r>
          </w:p>
          <w:p w:rsidR="008243C7" w:rsidRDefault="008243C7">
            <w:pPr>
              <w:pStyle w:val="23"/>
              <w:spacing w:after="0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подпрограмма: ««</w:t>
            </w:r>
            <w:r>
              <w:rPr>
                <w:rFonts w:ascii="inherit" w:hAnsi="inherit" w:cs="Arial"/>
                <w:color w:val="000000"/>
                <w:sz w:val="28"/>
                <w:szCs w:val="28"/>
                <w:bdr w:val="none" w:sz="0" w:space="0" w:color="auto" w:frame="1"/>
              </w:rPr>
              <w:t>Развитие архитектуры и градостроительства Старонижестеблиевского сельского поселения </w:t>
            </w: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района»;</w:t>
            </w:r>
          </w:p>
          <w:p w:rsidR="008243C7" w:rsidRDefault="008243C7">
            <w:pPr>
              <w:pStyle w:val="23"/>
              <w:spacing w:after="0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подпрограмма: «Поддержка субъектов малого и среднего предпринимательства Старонижестеблиевского </w:t>
            </w:r>
            <w:r>
              <w:rPr>
                <w:rFonts w:ascii="inherit" w:hAnsi="inherit" w:cs="Arial"/>
                <w:color w:val="333333"/>
                <w:spacing w:val="-1"/>
                <w:sz w:val="28"/>
                <w:szCs w:val="28"/>
                <w:bdr w:val="none" w:sz="0" w:space="0" w:color="auto" w:frame="1"/>
              </w:rPr>
              <w:t>сельского поселения</w:t>
            </w:r>
            <w:r>
              <w:rPr>
                <w:rFonts w:ascii="inherit" w:hAnsi="inherit" w:cs="Arial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Красноармейского района»</w:t>
            </w: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;</w:t>
            </w:r>
          </w:p>
          <w:p w:rsidR="008243C7" w:rsidRDefault="008243C7">
            <w:pPr>
              <w:pStyle w:val="23"/>
              <w:spacing w:after="0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 подпрограмма ««Землеустройство и землепользование Старонижестеблиевского сельского поселения Красноармейского района»                    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Цели муниципальной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транспорта;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повышение уровня жизни населения за счет формирования улично-дорожной сети,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сооветствующей потребностям населения и 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эко-номики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автомобильнымтранспортом,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 дорожнотранспортных происшествий и  потерь отних, снижение отрицательного воздействия транспортно-дорожного комплекса на окружающую среду, формирование условий для стабильного экономического развития и повышение инвестиционной привлекательности Старонижестеблиевского сельского поселения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района;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Развитие дорожного хозяйства и архитектуры Старонижестеблиевского сельского поселения Красноармейского района;</w:t>
            </w:r>
          </w:p>
          <w:p w:rsidR="008243C7" w:rsidRDefault="008243C7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проведение реконструкции, капитальногоремонта и ремонта объектов улично-дорожной сети Старонижестеблиевского сельского поселения Красноармейского района, расширение сети автомобильныхдорог с твердым покрытием, их ремонт,доведение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Перечень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целевых показателей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муниципальной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сумма бюджетных средств направленных на развитие дорожного хозяйства и архитектуры сельского поселения;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Этапы и сроки реализации муниципальной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2015-2017 годы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Объем бюджетных ассигнований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2015 год – 10221,2 тысяч рублей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2016 год – 14098,7 тысяч рублей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2017 год – 8785,3 тысяч рублей</w:t>
            </w:r>
          </w:p>
        </w:tc>
      </w:tr>
      <w:tr w:rsidR="008243C7" w:rsidTr="008243C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Глава администрации Старонижестеблиевского сельского поселения Красноармейского района</w:t>
            </w:r>
          </w:p>
        </w:tc>
      </w:tr>
    </w:tbl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Хорошее состояние улично-дорожной сети - необходимое условие успешного развития экономики Старонижестеблиевского сельского поселения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улучшения условий жизни населения. Развитие промышленного производства, сельского хозяйства, увеличение количества автотранспортных средств у населения,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том числе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грузовых,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интенсивность их эксплуатации существенно обостряет проблему нагрузки на дорожное покрытие, а так же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В настоящее время из-за несоответствия уровня развития и транспортно-эксплуатационного состояния автомобильных дорог спросу на автомобильные перевозки участники дорожного движения теряют в течение суток около 40 - 60 минут свободного или рабочего времени из-за низких скоростей движения (25 - 35 км/ч).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1,3 - 1,5 раза, а потерь от дорожно-транспортных происшествий - на 12 - 15 процентов.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Неразвитость улично-дорожной сети Старонижестеблиевского сельского поселения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Отсутствие подъездов к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населенным пунктам по автомобильным дорогам с твердым покрытием сдерживает их развитие, ведет к оттоку из них трудоспособного населения, а впоследствии и к прекращению их существования.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Недостаточный уровень развития улично-дорожной сети Старонижестеблиевского сельского поселения по сравнению с темпами роста парка автотранспортных средств приводит к сдерживанию его социально-экономического развития. Потери от дорожно-транспортных происшествий, связанные с гибелью и ранениями людей, а также с повреждением автотранспортных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дорог. Отставание в развитии улично-дорожной сети Старонижестеблиевского сельского поселения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является сдерживающим фактором экономического роста и повышения качества жизни населения.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Указанные проблемы обусловливают необходимость решения их программными методами.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1. Цели,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и целевые показатели муниципальной программы</w:t>
      </w:r>
    </w:p>
    <w:p w:rsidR="008243C7" w:rsidRDefault="008243C7" w:rsidP="008243C7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23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263"/>
        <w:gridCol w:w="1248"/>
        <w:gridCol w:w="850"/>
        <w:gridCol w:w="1419"/>
        <w:gridCol w:w="1275"/>
        <w:gridCol w:w="1580"/>
      </w:tblGrid>
      <w:tr w:rsidR="008243C7" w:rsidTr="008243C7">
        <w:trPr>
          <w:trHeight w:val="48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п/п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показателя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42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Значение показателей</w:t>
            </w:r>
          </w:p>
        </w:tc>
      </w:tr>
      <w:tr w:rsidR="008243C7" w:rsidTr="008243C7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3-й год реализации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6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муниципальная  программа  "Комплексное и устойчивое развитие в сфере</w:t>
            </w:r>
          </w:p>
          <w:p w:rsidR="008243C7" w:rsidRDefault="008243C7">
            <w:pPr>
              <w:pStyle w:val="21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строительства, архитектуры и дорожного хозяйства Старонижестеблиевского сельского поселения Красноармейского района" " на 2015-2017 годы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14098,7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8785,3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Разработка проекта организации дорожного движения на территории Старонижестеблиевского сельского поселения: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32,0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Схема движения грузового транспорта на территории Старонижестеблиевского сельского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12,0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Ремонт и реконструкция автомобильных дорог с асфальтовым покрытием, местного значения улично-дорожной сети Старонижестеблиевского сельского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2,8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и капитальный ремонт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Кубанская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0,32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и капитальный ремонт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Чигрина от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Дорожной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0,36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и капитальный ремонт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Красноармейская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от ул. Ватутина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до ул. Западной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0,41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и капитальный ремонт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Афанасенко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от ул. Красная Заря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0,26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и капитальный ремонт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Ленина от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Кооперативной до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Кубанской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0,26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и капитальный ремонт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Шевченко от ул. Красной до ул. Ленина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0,41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и капитальный ремонт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Мира от ул. Первомайской до пер. Мира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0,4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 и капитальный ремонт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ул. Красной от ул. Народной до ул. Советской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хутор им.Крупской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0,38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Грейдирование гравийных и грунтовых автомобильных дорог местного значения улично-дорожной сети Старонижестеблиевского сельского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Установка дорожных знаков, согласно предписаниям ГИБДД и результатам обследования автомобильных дорог Старонижестеблиевского сельского поселения Красноармейского района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Нанесение линий дорожной разметки по ул. Кооперативной, Мира согласно предписаниям и результатам обследования ГИБДД Красноармейского района.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м. 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110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Обустройство улично-дорожной сети населённых пунктов искусственными неровностями в местах массового скопления детей, нанесение линий дорожной разметки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1,0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0,61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0,75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Строительство тротуара по ул. Кооперативной от ул. Казачья до ул. Чигрина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0,3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Строительство тротуара по ул. Афанасенко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Строительство тротуара по ул. Кирпичной х. им. Крупской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0,25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Проведение акций: «Внимание – дети!», «Зебра» и т.д.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Проведение слётов юных инспекторов движения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Участие жителей в создании архитектурного облика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4100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Изготовление градостроительного чертежа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Изготовление проекта планировки земельного участка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Межевание земельных участков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12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Привлечение индивидуальных предпринимателей в развитие архитектуры и дорожного хозяйства поселения и бережного отношения к земле.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a4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Публикация регулярной целенаправленной пропаганды малого и среднего предпринимательства среди различных слоев населения в СМИ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кв.см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380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a4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Приобретение благодарственных писем «Лучшие предприниматели Старонижестеблиевского сельского поселения Красноармейского района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</w:t>
            </w:r>
          </w:p>
        </w:tc>
      </w:tr>
      <w:tr w:rsidR="008243C7" w:rsidTr="008243C7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a4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Изготовление рекламных баннеров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</w:tr>
    </w:tbl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19"/>
          <w:szCs w:val="19"/>
          <w:bdr w:val="none" w:sz="0" w:space="0" w:color="auto" w:frame="1"/>
        </w:rPr>
        <w:t> 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развитие  архитектуры и дорожного хозяйства Старонижестеблиевского сельского поселения Красноармейского района.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19"/>
          <w:szCs w:val="19"/>
          <w:bdr w:val="none" w:sz="0" w:space="0" w:color="auto" w:frame="1"/>
        </w:rPr>
        <w:t>2. Перечень основных мероприятий муниципальной программы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19"/>
          <w:szCs w:val="19"/>
          <w:bdr w:val="none" w:sz="0" w:space="0" w:color="auto" w:frame="1"/>
        </w:rPr>
        <w:t> </w:t>
      </w:r>
    </w:p>
    <w:tbl>
      <w:tblPr>
        <w:tblW w:w="10665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845"/>
        <w:gridCol w:w="773"/>
        <w:gridCol w:w="1570"/>
        <w:gridCol w:w="1597"/>
        <w:gridCol w:w="1141"/>
        <w:gridCol w:w="1141"/>
        <w:gridCol w:w="1183"/>
        <w:gridCol w:w="1769"/>
        <w:gridCol w:w="2723"/>
      </w:tblGrid>
      <w:tr w:rsidR="008243C7" w:rsidTr="008243C7">
        <w:trPr>
          <w:trHeight w:val="390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п/п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мероприятия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Источники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финансирования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Финансирования всего (тыс.руб)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Непосредственный результат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реализации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8243C7" w:rsidTr="008243C7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 год реализации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 год реализации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 год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8243C7" w:rsidTr="008243C7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</w:tr>
      <w:tr w:rsidR="008243C7" w:rsidTr="008243C7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Комплексное развитие Старонижестеблиевского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8243C7" w:rsidTr="008243C7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дорожного хозяйства и архитектуры Старонижестеблиевского сельского поселения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</w:tc>
      </w:tr>
      <w:tr w:rsidR="008243C7" w:rsidTr="008243C7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Подпрограмма№1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a5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8243C7" w:rsidTr="008243C7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1.2.1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</w:tr>
      <w:tr w:rsidR="008243C7" w:rsidTr="008243C7"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32021,4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9901,0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13555,1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8565,3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28582,2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7201,0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12815,9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8565,3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3439,2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2700,0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bdr w:val="none" w:sz="0" w:space="0" w:color="auto" w:frame="1"/>
              </w:rPr>
              <w:t>739,2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165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Реконструкция,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27082,2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6701,0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12315,9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8065,3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165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Реконструкция,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3439,2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739,2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107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Повышение безопасности дорожного движения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14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39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23"/>
              <w:spacing w:after="0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«Развитие архитектуры и градостроительства Старонижестеблиевского сельского поселения Красноармейского района»</w:t>
            </w:r>
          </w:p>
        </w:tc>
      </w:tr>
      <w:tr w:rsidR="008243C7" w:rsidTr="008243C7">
        <w:trPr>
          <w:trHeight w:val="46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23"/>
              <w:spacing w:after="0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«</w:t>
            </w: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Развитие архитектуры и градостроительства Старонижестеблиевского сельского поселения</w:t>
            </w: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Красноармейского района» </w:t>
            </w:r>
          </w:p>
        </w:tc>
      </w:tr>
      <w:tr w:rsidR="008243C7" w:rsidTr="008243C7">
        <w:trPr>
          <w:trHeight w:val="35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1029,2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523,6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51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1029,2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523,6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35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34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36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25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194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pStyle w:val="23"/>
              <w:spacing w:after="0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«</w:t>
            </w: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Развитие архитектуры и градостроительства</w:t>
            </w:r>
          </w:p>
          <w:p w:rsidR="008243C7" w:rsidRDefault="008243C7">
            <w:pPr>
              <w:pStyle w:val="23"/>
              <w:spacing w:after="0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8243C7" w:rsidRDefault="008243C7">
            <w:pPr>
              <w:pStyle w:val="23"/>
              <w:spacing w:after="0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Красноармейского района»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1029,2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523,6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34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52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610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«Поддержка субъектов малого и среднего предпринимательства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 </w:t>
            </w:r>
            <w:r>
              <w:rPr>
                <w:rFonts w:ascii="inherit" w:hAnsi="inherit"/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 </w:t>
            </w:r>
            <w:r>
              <w:rPr>
                <w:rFonts w:ascii="inherit" w:hAnsi="inherit"/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71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3.1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«Поддержка субъектов малого и среднего предпринимательства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 </w:t>
            </w:r>
            <w:r>
              <w:rPr>
                <w:rFonts w:ascii="inherit" w:hAnsi="inherit"/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 </w:t>
            </w:r>
            <w:r>
              <w:rPr>
                <w:rFonts w:ascii="inherit" w:hAnsi="inherit"/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</w:tc>
      </w:tr>
      <w:tr w:rsidR="008243C7" w:rsidTr="008243C7">
        <w:trPr>
          <w:trHeight w:val="35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34,6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336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34,6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17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28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35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165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«Поддержка субъектов малого и среднего предпринимательства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</w:t>
            </w:r>
            <w:r>
              <w:rPr>
                <w:rFonts w:ascii="inherit" w:hAnsi="inherit"/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</w:t>
            </w:r>
            <w:r>
              <w:rPr>
                <w:rFonts w:ascii="inherit" w:hAnsi="inherit"/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34,6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29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40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«Землеустройство и землепользование 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</w:t>
            </w:r>
          </w:p>
          <w:p w:rsidR="008243C7" w:rsidRDefault="008243C7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 </w:t>
            </w:r>
            <w:r>
              <w:rPr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52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4.1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«Землеустройство и землепользование 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 </w:t>
            </w:r>
            <w:r>
              <w:rPr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</w:tc>
      </w:tr>
      <w:tr w:rsidR="008243C7" w:rsidTr="008243C7">
        <w:trPr>
          <w:trHeight w:val="39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34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34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36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34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43C7" w:rsidRDefault="008243C7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26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8243C7" w:rsidTr="008243C7">
        <w:trPr>
          <w:trHeight w:val="69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3"/>
                <w:sz w:val="19"/>
                <w:szCs w:val="19"/>
                <w:bdr w:val="none" w:sz="0" w:space="0" w:color="auto" w:frame="1"/>
              </w:rPr>
              <w:t>«Землеустройство и землепользование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bdr w:val="none" w:sz="0" w:space="0" w:color="auto" w:frame="1"/>
              </w:rPr>
              <w:t>сельского поселения</w:t>
            </w:r>
            <w:r>
              <w:rPr>
                <w:color w:val="000000"/>
                <w:spacing w:val="-2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8243C7" w:rsidTr="008243C7">
        <w:trPr>
          <w:trHeight w:val="226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</w:tbl>
    <w:p w:rsidR="008243C7" w:rsidRDefault="008243C7" w:rsidP="008243C7">
      <w:pPr>
        <w:pStyle w:val="2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Федеральный закон Российской Федерации от 5 апреля 2013 г. N 44-ФЗ"О контрактной системе в сфере закупок товаров, работ, услуг для обеспечения государственных и муниципальных нужд".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(при наличии)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6. Оценка эффективности реализации Программы.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10121"/>
      <w:bookmarkEnd w:id="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первом этапе осуществляется оценка эффективности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включенных в муниципальную программу, и включает: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реализации мероприятий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достижения ожидаемых непосредственных результатов их реализации;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достижения целей и решения задач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входящих в муниципальную программу;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2"/>
      <w:bookmarkEnd w:id="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7. Оценка степени реализации основных мероприятий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и достижения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ожидаемых непосредственных результатов их реализации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21"/>
      <w:bookmarkEnd w:id="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= 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/ М, где: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2"/>
      <w:bookmarkEnd w:id="4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 может считаться выполненным в полном объеме при достижении следующих результатов: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1"/>
      <w:bookmarkEnd w:id="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3"/>
      <w:bookmarkEnd w:id="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8. Оценка степени соответствия запланированному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уровню расходов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31"/>
      <w:bookmarkEnd w:id="7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=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/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 году;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8" w:name="sub_1032"/>
      <w:bookmarkEnd w:id="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</w:t>
      </w:r>
      <w:r>
        <w:rPr>
          <w:color w:val="333333"/>
          <w:sz w:val="28"/>
          <w:szCs w:val="28"/>
          <w:bdr w:val="none" w:sz="0" w:space="0" w:color="auto" w:frame="1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9" w:name="sub_104"/>
      <w:bookmarkEnd w:id="9"/>
      <w:r>
        <w:rPr>
          <w:b/>
          <w:bCs/>
          <w:color w:val="00387E"/>
          <w:sz w:val="28"/>
          <w:szCs w:val="28"/>
          <w:bdr w:val="none" w:sz="0" w:space="0" w:color="auto" w:frame="1"/>
        </w:rPr>
        <w:t>9. Оценка эффективности использования средств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бюджета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мероприятий, полностью или частично финансируемых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Если доля финансового обеспечения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 составляет менее 75%, по решению координатора муниципальной программы показатель оценки эффективности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5"/>
      <w:bookmarkEnd w:id="10"/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10. Оценка степени достижения целей и решения задач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основного мероприятия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1" w:name="sub_1051"/>
      <w:bookmarkEnd w:id="11"/>
      <w:r>
        <w:rPr>
          <w:color w:val="333333"/>
          <w:sz w:val="28"/>
          <w:szCs w:val="28"/>
          <w:bdr w:val="none" w:sz="0" w:space="0" w:color="auto" w:frame="1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2"/>
      <w:bookmarkEnd w:id="12"/>
      <w:r>
        <w:rPr>
          <w:color w:val="333333"/>
          <w:sz w:val="28"/>
          <w:szCs w:val="28"/>
          <w:bdr w:val="none" w:sz="0" w:space="0" w:color="auto" w:frame="1"/>
        </w:rPr>
        <w:t>10.2. Степень достижения планового значения целевого показателя рассчитывается по следующим формулам: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 основного мероприятия фактически достигнутое на конец отчетного периода;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3"/>
      <w:bookmarkEnd w:id="13"/>
      <w:r>
        <w:rPr>
          <w:color w:val="333333"/>
          <w:sz w:val="28"/>
          <w:szCs w:val="28"/>
          <w:bdr w:val="none" w:sz="0" w:space="0" w:color="auto" w:frame="1"/>
        </w:rPr>
        <w:t>10.3. Степень реализации основного мероприятия рассчитывается по формуле: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формуле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 =1.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4" w:name="sub_106"/>
      <w:bookmarkEnd w:id="14"/>
      <w:r>
        <w:rPr>
          <w:b/>
          <w:bCs/>
          <w:color w:val="00387E"/>
          <w:sz w:val="28"/>
          <w:szCs w:val="28"/>
          <w:bdr w:val="none" w:sz="0" w:space="0" w:color="auto" w:frame="1"/>
        </w:rPr>
        <w:t>11. Оценка эффективности реализации основного мероприятия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5" w:name="sub_1061"/>
      <w:bookmarkEnd w:id="15"/>
      <w:r>
        <w:rPr>
          <w:color w:val="333333"/>
          <w:sz w:val="28"/>
          <w:szCs w:val="28"/>
          <w:bdr w:val="none" w:sz="0" w:space="0" w:color="auto" w:frame="1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х 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2"/>
      <w:bookmarkEnd w:id="16"/>
      <w:r>
        <w:rPr>
          <w:color w:val="333333"/>
          <w:sz w:val="28"/>
          <w:szCs w:val="28"/>
          <w:bdr w:val="none" w:sz="0" w:space="0" w:color="auto" w:frame="1"/>
        </w:rPr>
        <w:t>11.2.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высокой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средней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удовлетворительной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неудовлетворительной.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7" w:name="sub_107"/>
      <w:bookmarkEnd w:id="17"/>
      <w:r>
        <w:rPr>
          <w:b/>
          <w:bCs/>
          <w:color w:val="00387E"/>
          <w:sz w:val="28"/>
          <w:szCs w:val="28"/>
          <w:bdr w:val="none" w:sz="0" w:space="0" w:color="auto" w:frame="1"/>
        </w:rPr>
        <w:t>12. Оценка степени достижения целей и решения задач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муниципальной программы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8" w:name="sub_1071"/>
      <w:bookmarkEnd w:id="18"/>
      <w:r>
        <w:rPr>
          <w:color w:val="333333"/>
          <w:sz w:val="28"/>
          <w:szCs w:val="28"/>
          <w:bdr w:val="none" w:sz="0" w:space="0" w:color="auto" w:frame="1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2"/>
      <w:bookmarkEnd w:id="19"/>
      <w:r>
        <w:rPr>
          <w:color w:val="333333"/>
          <w:sz w:val="28"/>
          <w:szCs w:val="28"/>
          <w:bdr w:val="none" w:sz="0" w:space="0" w:color="auto" w:frame="1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задачи муниципальной программы.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3"/>
      <w:bookmarkEnd w:id="20"/>
      <w:r>
        <w:rPr>
          <w:color w:val="333333"/>
          <w:sz w:val="28"/>
          <w:szCs w:val="28"/>
          <w:bdr w:val="none" w:sz="0" w:space="0" w:color="auto" w:frame="1"/>
        </w:rPr>
        <w:t>12.3. Степень реализации муниципальной программы рассчитывается по формуле: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формулы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показателя,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= 1.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pStyle w:val="1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1" w:name="sub_108"/>
      <w:bookmarkEnd w:id="21"/>
      <w:r>
        <w:rPr>
          <w:b/>
          <w:bCs/>
          <w:color w:val="00387E"/>
          <w:sz w:val="28"/>
          <w:szCs w:val="28"/>
          <w:bdr w:val="none" w:sz="0" w:space="0" w:color="auto" w:frame="1"/>
        </w:rPr>
        <w:t>13. Оценка эффективности реализации муниципальной программы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2" w:name="sub_1081"/>
      <w:bookmarkEnd w:id="2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13.1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коэффициент значимости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определяется по формуле:</w:t>
      </w:r>
    </w:p>
    <w:p w:rsidR="008243C7" w:rsidRDefault="008243C7" w:rsidP="008243C7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= 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/ Ф, где: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j-той основного мероприятия в отчетном году;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 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муниципальной программы;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2"/>
      <w:bookmarkEnd w:id="23"/>
      <w:r>
        <w:rPr>
          <w:color w:val="333333"/>
          <w:sz w:val="28"/>
          <w:szCs w:val="28"/>
          <w:bdr w:val="none" w:sz="0" w:space="0" w:color="auto" w:frame="1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местности.</w:t>
      </w:r>
    </w:p>
    <w:p w:rsidR="008243C7" w:rsidRDefault="008243C7" w:rsidP="008243C7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Координатор ежегодно представляет информацию о ходе выполнения мероприятий Программы Главе Старонижестеблиевского сельского поселения Красноармейского района до 01 апреля года, следующего за отчетным, также Отчет о реализации мероприятий Программы и использовании бюджетных средств администрация сельского поселения представляется Совету депутатов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8"/>
        <w:gridCol w:w="2160"/>
      </w:tblGrid>
      <w:tr w:rsidR="008243C7" w:rsidTr="008243C7">
        <w:tc>
          <w:tcPr>
            <w:tcW w:w="7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8243C7" w:rsidRDefault="008243C7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</w:tbl>
    <w:p w:rsidR="008243C7" w:rsidRDefault="008243C7" w:rsidP="008243C7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251257" w:rsidRPr="008243C7" w:rsidRDefault="00251257" w:rsidP="008243C7"/>
    <w:sectPr w:rsidR="00251257" w:rsidRPr="0082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4D71"/>
    <w:multiLevelType w:val="multilevel"/>
    <w:tmpl w:val="5B6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114"/>
    <w:multiLevelType w:val="multilevel"/>
    <w:tmpl w:val="1CA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F2A4F"/>
    <w:multiLevelType w:val="multilevel"/>
    <w:tmpl w:val="87F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D6386"/>
    <w:multiLevelType w:val="multilevel"/>
    <w:tmpl w:val="D54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30FC7"/>
    <w:multiLevelType w:val="multilevel"/>
    <w:tmpl w:val="D32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11103"/>
    <w:multiLevelType w:val="multilevel"/>
    <w:tmpl w:val="B2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A39E8"/>
    <w:multiLevelType w:val="multilevel"/>
    <w:tmpl w:val="8ED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D4C98"/>
    <w:multiLevelType w:val="multilevel"/>
    <w:tmpl w:val="560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B0D54"/>
    <w:multiLevelType w:val="multilevel"/>
    <w:tmpl w:val="1B8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55A1A"/>
    <w:multiLevelType w:val="multilevel"/>
    <w:tmpl w:val="D5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7"/>
    <w:rsid w:val="000E2267"/>
    <w:rsid w:val="001124C9"/>
    <w:rsid w:val="00251257"/>
    <w:rsid w:val="002E5391"/>
    <w:rsid w:val="00670901"/>
    <w:rsid w:val="006B7BEF"/>
    <w:rsid w:val="006F1F5C"/>
    <w:rsid w:val="006F2DF1"/>
    <w:rsid w:val="006F2FCA"/>
    <w:rsid w:val="008243C7"/>
    <w:rsid w:val="00A11498"/>
    <w:rsid w:val="00A83F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42E5-1805-4FF7-B249-9F3E8F3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9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5391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F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B7B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7BEF"/>
  </w:style>
  <w:style w:type="paragraph" w:styleId="a9">
    <w:name w:val="Subtitle"/>
    <w:basedOn w:val="a"/>
    <w:link w:val="aa"/>
    <w:uiPriority w:val="11"/>
    <w:qFormat/>
    <w:rsid w:val="006F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F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43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3C7"/>
  </w:style>
  <w:style w:type="paragraph" w:customStyle="1" w:styleId="a40">
    <w:name w:val="a4"/>
    <w:basedOn w:val="a"/>
    <w:rsid w:val="008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415f7e37e88d0f23553458220ca6e0472a437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25-05/2016-09-28-12-27-32/296-o-vnesenii-izmenenij-v-postanovlenie-ot-11-dekabrya-2014-goda-378-o-stroitelstv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2018-08-08T11:07:00Z</dcterms:created>
  <dcterms:modified xsi:type="dcterms:W3CDTF">2018-08-08T11:07:00Z</dcterms:modified>
</cp:coreProperties>
</file>