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1E8" w:rsidRDefault="006421E8" w:rsidP="006421E8">
      <w:pPr>
        <w:pStyle w:val="2"/>
        <w:shd w:val="clear" w:color="auto" w:fill="FFFFFF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внесении изменений в постановление администрации от 11 декабря 2014 года № 386 о развитии топливно-энергетического комплекса</w:t>
      </w:r>
    </w:p>
    <w:bookmarkEnd w:id="0"/>
    <w:p w:rsidR="006421E8" w:rsidRDefault="006421E8" w:rsidP="006421E8">
      <w:pPr>
        <w:pStyle w:val="print-ico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5" name="Рисунок 15" descr="Print">
              <a:hlinkClick xmlns:a="http://schemas.openxmlformats.org/drawingml/2006/main" r:id="rId5" tooltip="&quot;Print article &lt; О внесении изменений в постановление администрации от 11 декабря 2014 года № 386 о развитии топливно-энергетического комплекс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int">
                      <a:hlinkClick r:id="rId5" tooltip="&quot;Print article &lt; О внесении изменений в постановление администрации от 11 декабря 2014 года № 386 о развитии топливно-энергетического комплекс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E8" w:rsidRDefault="006421E8" w:rsidP="006421E8">
      <w:pPr>
        <w:pStyle w:val="email-ico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4" name="Рисунок 14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4200"/>
        <w:gridCol w:w="2430"/>
      </w:tblGrid>
      <w:tr w:rsidR="006421E8" w:rsidTr="006421E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  <w:p w:rsidR="006421E8" w:rsidRDefault="006421E8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6421E8" w:rsidRDefault="006421E8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  <w:p w:rsidR="006421E8" w:rsidRDefault="006421E8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36"/>
                <w:szCs w:val="36"/>
                <w:bdr w:val="none" w:sz="0" w:space="0" w:color="auto" w:frame="1"/>
              </w:rPr>
              <w:t>ПОСТАНОВЛЕНИЕ</w:t>
            </w:r>
          </w:p>
        </w:tc>
      </w:tr>
      <w:tr w:rsidR="006421E8" w:rsidTr="006421E8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221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«_28__»__12__2016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221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№ __559___</w:t>
            </w:r>
          </w:p>
        </w:tc>
      </w:tr>
      <w:tr w:rsidR="006421E8" w:rsidTr="006421E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pStyle w:val="a7"/>
              <w:spacing w:before="0" w:beforeAutospacing="0" w:after="0" w:afterAutospacing="0"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станица Старонижестеблиевская</w:t>
            </w:r>
          </w:p>
        </w:tc>
      </w:tr>
    </w:tbl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421E8" w:rsidRDefault="006421E8" w:rsidP="006421E8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6421E8" w:rsidTr="006421E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О внесении изменений в постановление администрации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  <w:p w:rsidR="006421E8" w:rsidRDefault="006421E8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от 11 декабря 2014 года № 386 «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 утверждении муниципальной</w:t>
            </w:r>
          </w:p>
          <w:p w:rsidR="006421E8" w:rsidRDefault="006421E8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программы " 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Развитие топливно-энергетического комплекса</w:t>
            </w:r>
          </w:p>
          <w:p w:rsidR="006421E8" w:rsidRDefault="006421E8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 сельского поселения</w:t>
            </w:r>
          </w:p>
          <w:p w:rsidR="006421E8" w:rsidRDefault="006421E8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района»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6421E8" w:rsidTr="006421E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ind w:firstLine="851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Во исполнение Федерального закона от 6 октября 2003 года № 131-ФЗ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«Об общих принципах организации местного самоуправления в Российской Федерации», статьи 179 Бюджетного кодекса Российской Федерации, Устава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 о с т а н о в л я ю:</w:t>
            </w:r>
          </w:p>
          <w:p w:rsidR="006421E8" w:rsidRDefault="006421E8">
            <w:pPr>
              <w:pStyle w:val="21"/>
              <w:spacing w:after="0" w:line="312" w:lineRule="atLeast"/>
              <w:ind w:firstLine="851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1.Внести изменения в муниципальную программу "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Развитие топливно-энергетического комплекса Старонижестеблиевского сельского поселения Красноармейского района" и читать ее в настоящей редакции (прилагается).</w:t>
            </w:r>
          </w:p>
          <w:p w:rsidR="006421E8" w:rsidRDefault="006421E8">
            <w:pPr>
              <w:pStyle w:val="21"/>
              <w:spacing w:after="0" w:line="312" w:lineRule="atLeast"/>
              <w:ind w:firstLine="851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2.Отделу по бухгалтерскому учету и финансам администрации Старонижестеблиевского сельского поселения Красноармейского района (Коваленко) осуществлять финансирование расходов на реализацию данной программы в 2015-2017 годах в пределах средств утвержденных бюджетом поселения на эти цели.</w:t>
            </w:r>
          </w:p>
          <w:p w:rsidR="006421E8" w:rsidRDefault="006421E8">
            <w:pPr>
              <w:spacing w:line="312" w:lineRule="atLeast"/>
              <w:ind w:firstLine="851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3.Контроль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      </w:r>
          </w:p>
          <w:p w:rsidR="006421E8" w:rsidRDefault="006421E8">
            <w:pPr>
              <w:spacing w:line="312" w:lineRule="atLeast"/>
              <w:ind w:firstLine="851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4.Постановление вступает в силу со дня его обнародования.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4800"/>
      </w:tblGrid>
      <w:tr w:rsidR="006421E8" w:rsidTr="006421E8">
        <w:tc>
          <w:tcPr>
            <w:tcW w:w="49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Глава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4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В.В. Новак</w:t>
            </w:r>
          </w:p>
        </w:tc>
      </w:tr>
    </w:tbl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pStyle w:val="21"/>
        <w:shd w:val="clear" w:color="auto" w:fill="FFFFFF"/>
        <w:spacing w:before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ЛИСТ СОГЛАСОВАНИЯ</w:t>
      </w:r>
    </w:p>
    <w:p w:rsidR="006421E8" w:rsidRDefault="006421E8" w:rsidP="006421E8">
      <w:pPr>
        <w:pStyle w:val="21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 постановлению администрации Старонижестеблиевского сельского поселения Красноармейского района от _______________ №</w:t>
      </w:r>
      <w:r>
        <w:rPr>
          <w:rFonts w:ascii="Arial" w:hAnsi="Arial" w:cs="Arial"/>
          <w:color w:val="333333"/>
          <w:sz w:val="19"/>
          <w:szCs w:val="19"/>
        </w:rPr>
        <w:t> _________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19"/>
          <w:szCs w:val="19"/>
          <w:bdr w:val="none" w:sz="0" w:space="0" w:color="auto" w:frame="1"/>
        </w:rPr>
        <w:t> </w:t>
      </w:r>
      <w:r>
        <w:rPr>
          <w:color w:val="333333"/>
          <w:sz w:val="19"/>
          <w:szCs w:val="19"/>
          <w:bdr w:val="none" w:sz="0" w:space="0" w:color="auto" w:frame="1"/>
        </w:rPr>
        <w:t>«</w:t>
      </w:r>
      <w:r>
        <w:rPr>
          <w:color w:val="333333"/>
          <w:sz w:val="28"/>
          <w:szCs w:val="28"/>
          <w:bdr w:val="none" w:sz="0" w:space="0" w:color="auto" w:frame="1"/>
        </w:rPr>
        <w:t>О внесении изменений в постановление администрации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Красноармейского района</w:t>
      </w:r>
    </w:p>
    <w:p w:rsidR="006421E8" w:rsidRDefault="006421E8" w:rsidP="006421E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от 11 декабря 2014 года № 386 «Об утверждении муниципальной</w:t>
      </w:r>
    </w:p>
    <w:p w:rsidR="006421E8" w:rsidRDefault="006421E8" w:rsidP="006421E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программы "</w:t>
      </w: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Развитие топливно-энергетического комплекса</w:t>
      </w:r>
    </w:p>
    <w:p w:rsidR="006421E8" w:rsidRDefault="006421E8" w:rsidP="006421E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 сельского поселения</w:t>
      </w:r>
    </w:p>
    <w:p w:rsidR="006421E8" w:rsidRDefault="006421E8" w:rsidP="006421E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района»</w:t>
      </w:r>
    </w:p>
    <w:p w:rsidR="006421E8" w:rsidRDefault="006421E8" w:rsidP="006421E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6421E8" w:rsidRDefault="006421E8" w:rsidP="006421E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Проект подготовлен и внесен:</w:t>
      </w: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2160"/>
      </w:tblGrid>
      <w:tr w:rsidR="006421E8" w:rsidTr="006421E8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Специалист 1 категории</w:t>
            </w:r>
          </w:p>
          <w:p w:rsidR="006421E8" w:rsidRDefault="006421E8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по работе с ЛПХ и КФХ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6421E8" w:rsidRDefault="006421E8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Красноармейского района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pStyle w:val="21"/>
              <w:spacing w:after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6421E8" w:rsidRDefault="006421E8">
            <w:pPr>
              <w:pStyle w:val="21"/>
              <w:spacing w:after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6421E8" w:rsidRDefault="006421E8">
            <w:pPr>
              <w:pStyle w:val="21"/>
              <w:spacing w:after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6421E8" w:rsidRDefault="006421E8">
            <w:pPr>
              <w:pStyle w:val="21"/>
              <w:spacing w:after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И.И.Арутюнова</w:t>
            </w:r>
          </w:p>
        </w:tc>
      </w:tr>
      <w:tr w:rsidR="006421E8" w:rsidTr="006421E8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Проект согласован: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6421E8" w:rsidTr="006421E8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Заместитель главы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Е.Е. Черепанова</w:t>
            </w:r>
          </w:p>
        </w:tc>
      </w:tr>
      <w:tr w:rsidR="006421E8" w:rsidTr="006421E8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6421E8" w:rsidTr="006421E8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Начальник общего отдела администрации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Н.В. Супрун</w:t>
            </w:r>
          </w:p>
        </w:tc>
      </w:tr>
      <w:tr w:rsidR="006421E8" w:rsidTr="006421E8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6421E8" w:rsidTr="006421E8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Начальник отдела по бухгалтерскому учету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 финансам, главный бухгалтер администрации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                   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Т.А. Коваленко</w:t>
            </w:r>
          </w:p>
        </w:tc>
      </w:tr>
      <w:tr w:rsidR="006421E8" w:rsidTr="006421E8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6421E8" w:rsidTr="006421E8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Специалист 1 категории по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Юридическим вопросам администрации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6421E8" w:rsidRDefault="006421E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О.Н. Шестопал</w:t>
            </w:r>
          </w:p>
        </w:tc>
      </w:tr>
    </w:tbl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ПРИЛОЖЕНИЕ</w:t>
      </w:r>
    </w:p>
    <w:p w:rsidR="006421E8" w:rsidRDefault="006421E8" w:rsidP="006421E8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6421E8" w:rsidRDefault="006421E8" w:rsidP="006421E8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</w:p>
    <w:p w:rsidR="006421E8" w:rsidRDefault="006421E8" w:rsidP="006421E8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6421E8" w:rsidRDefault="006421E8" w:rsidP="006421E8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6421E8" w:rsidRDefault="006421E8" w:rsidP="006421E8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от _____________ № ______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ПАСПОРТ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муниципальной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программы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" Развитие топливно-энергетического комплекса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Красноармейского района"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10331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503"/>
      </w:tblGrid>
      <w:tr w:rsidR="006421E8" w:rsidTr="006421E8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муниципальная  программа</w:t>
            </w:r>
          </w:p>
          <w:p w:rsidR="006421E8" w:rsidRDefault="006421E8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"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Развитие топливно-энергетического комплекса Старонижестеблиевского сельского поселения Красноармейского района" </w:t>
            </w:r>
          </w:p>
        </w:tc>
      </w:tr>
      <w:tr w:rsidR="006421E8" w:rsidTr="006421E8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Координатор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муниципальной программы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</w:tc>
      </w:tr>
      <w:tr w:rsidR="006421E8" w:rsidTr="006421E8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Участники муниципальной программы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Заместитель главы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</w:tc>
      </w:tr>
      <w:tr w:rsidR="006421E8" w:rsidTr="006421E8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Цели муниципальной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программы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бесперебойное и гарантированное удовлетворение потребности населения в части развития систем наружного освещения Старонижестеблиевского сельского поселения Красноармейского района, повышение уровня благоустройства на основе комплексного подхода к ремонту существующих установок систем уличного освещения.</w:t>
            </w:r>
          </w:p>
        </w:tc>
      </w:tr>
      <w:tr w:rsidR="006421E8" w:rsidTr="006421E8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Задачи муниципальной программы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повышение уровня благоустройства в части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развития систем наружного освещения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</w:tc>
      </w:tr>
      <w:tr w:rsidR="006421E8" w:rsidTr="006421E8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Перечень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целевых показателей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муниципальной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программы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сумма бюджетных средств направленных на развитие бесперебойное и гарантированное удовлетворение потребности населения в части развития систем наружного освещения;</w:t>
            </w:r>
          </w:p>
        </w:tc>
      </w:tr>
      <w:tr w:rsidR="006421E8" w:rsidTr="006421E8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Этапы и сроки реализации муниципальной программы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2015-2017 годы</w:t>
            </w:r>
          </w:p>
        </w:tc>
      </w:tr>
      <w:tr w:rsidR="006421E8" w:rsidTr="006421E8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Объем бюджетных ассигнований муниципальной программы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2015 год – 2111,0 тысяч рублей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2016 год – 2702,0 тысяч рублей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2017 год – 2250,0 тысяч рублей</w:t>
            </w:r>
          </w:p>
        </w:tc>
      </w:tr>
      <w:tr w:rsidR="006421E8" w:rsidTr="006421E8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Контроль за выполнением муниципальной программы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Глава администрации Старонижестеблиевского сельского поселения Красноармейского района</w:t>
            </w:r>
          </w:p>
        </w:tc>
      </w:tr>
    </w:tbl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35"/>
          <w:szCs w:val="35"/>
          <w:bdr w:val="none" w:sz="0" w:space="0" w:color="auto" w:frame="1"/>
        </w:rPr>
        <w:t> 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настоящее время фактическое состояние систем наружного освещения населенных пунктов Старонижестеблиевского сельского поселения 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не отвечает современным требованиям и не удовлетворяет потребности населения сельского поселения в освещении.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финансирования.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бюджета Старонижестеблиевского сельского поселения Красноармейского района, а не реальных потребностей. По этой причине наружное освещение либо отключается задолго до полуночи, либо работает частично, а ремонт светильников производится не в полном объеме.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Серьезные недостатки имеются в освещении отдаленных территорий. Статистика свидетельствует о прямой зависимости качества освещения дворов, пешеходных дорожек от уровня преступности в городах и районах края.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Учитывая, что состояние и качественное функционирование наружного освещения имеют важное социальное значение, необходимо проведение в возможно короткие сроки комплекса мероприятий, направленных на его восстановление и дальнейшее развитие.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На сегодняшний день 90 процентов общего парка источников света составляют лампы накаливания и ртутные лампы. Лампы накаливания и ртутные лампы (преимущественно мощностью 250 Вт) составляют 90 процентов общего парка источников света. При этом светоотдача ртутных ламп не соответствует требованиям СНиП 23-05-95 "Естественное и искусственное освещение" из-за коррозии или отсутствия оптического отсека.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Для уменьшения электропотребления в установках наружного освещения в поселении должны использоваться осветительные приборы с натриевыми лампами высокого давления, позволяющими создавать одинаковые уровни освещенности при меньшем потреблении электроэнергии. Замена существующих светильников на светильники с энергоэкономичными лампами позволит существенно повысить освещенность территорий населенных пунктов поселения, снизить нагрузку на электрические сети и расход электрической энергии, особенно в осенне-зимний период.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поддержки, как на муниципальном, так и на краевом уровнях. Решение данной задачи возможно только в рамках программно-целевого подхода, так как: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мероприятия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энергоснабжения;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разработка и реализация программных мероприятий в рамках решения существующих проблем в сфере благоустройства населенных пунктов потребуют применения принципов бюджетного планирования, ориентированного на улучшение состояния освещения населенных пунктов.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Таким образом, необходимость разработки и реализации Программы обусловлена: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1) социально-политической остротой проблемы в Краснодарском крае;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2) необходимостью повышения уровня безопасности населения и дорожного движения;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3) межотраслевым и межведомственным характером проблемы, необходимостью привлечения к ее решению органов законодательной и исполнительной власти края и органов местного самоуправления.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1. Цели,</w:t>
      </w: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задачи</w:t>
      </w: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и целевые показатели муниципальной программы</w:t>
      </w:r>
    </w:p>
    <w:p w:rsidR="006421E8" w:rsidRDefault="006421E8" w:rsidP="006421E8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19"/>
          <w:szCs w:val="19"/>
          <w:bdr w:val="none" w:sz="0" w:space="0" w:color="auto" w:frame="1"/>
        </w:rPr>
        <w:t> </w:t>
      </w:r>
    </w:p>
    <w:tbl>
      <w:tblPr>
        <w:tblW w:w="0" w:type="auto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779"/>
        <w:gridCol w:w="1332"/>
        <w:gridCol w:w="1034"/>
        <w:gridCol w:w="1386"/>
        <w:gridCol w:w="1362"/>
        <w:gridCol w:w="1362"/>
      </w:tblGrid>
      <w:tr w:rsidR="006421E8" w:rsidTr="006421E8">
        <w:trPr>
          <w:trHeight w:val="48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№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Наименование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целевого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показателя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Статус</w:t>
            </w:r>
          </w:p>
        </w:tc>
        <w:tc>
          <w:tcPr>
            <w:tcW w:w="41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Значение показателей</w:t>
            </w:r>
          </w:p>
        </w:tc>
      </w:tr>
      <w:tr w:rsidR="006421E8" w:rsidTr="006421E8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1-й год реализации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2-й год реализации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3-й год реализации</w:t>
            </w:r>
          </w:p>
        </w:tc>
      </w:tr>
      <w:tr w:rsidR="006421E8" w:rsidTr="006421E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отчет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оценка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прогноз</w:t>
            </w:r>
          </w:p>
        </w:tc>
      </w:tr>
      <w:tr w:rsidR="006421E8" w:rsidTr="006421E8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</w:t>
            </w:r>
          </w:p>
        </w:tc>
      </w:tr>
      <w:tr w:rsidR="006421E8" w:rsidTr="006421E8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94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муниципальная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программа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" Развитие топливно-энергетического комплекса Старонижестеблиевского сельского поселения Красноармейского района"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6421E8" w:rsidTr="006421E8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Развитие бесперебойного и гарантированного удовлетворения потребности населения в части развития систем наружного освещения Старонижестеблиевского сельского поселения Красноармейского района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2111,0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2702,0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2250,0</w:t>
            </w:r>
          </w:p>
        </w:tc>
      </w:tr>
      <w:tr w:rsidR="006421E8" w:rsidTr="006421E8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Реконструкция систем наружного освещения: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улиц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90,0</w:t>
            </w:r>
          </w:p>
        </w:tc>
      </w:tr>
      <w:tr w:rsidR="006421E8" w:rsidTr="006421E8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Реконструкция систем наружного освещения: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1,4</w:t>
            </w:r>
          </w:p>
        </w:tc>
      </w:tr>
      <w:tr w:rsidR="006421E8" w:rsidTr="006421E8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Текущий ремонт систем наружного освещения Старонижестеблиевского сельского поселения Красноармейского района: ул. Кубанская от ул. Советской до ул. Базарной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18,0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100,0</w:t>
            </w:r>
          </w:p>
        </w:tc>
      </w:tr>
      <w:tr w:rsidR="006421E8" w:rsidTr="006421E8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Текущий ремонт систем наружного освещения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0,6</w:t>
            </w:r>
          </w:p>
        </w:tc>
      </w:tr>
      <w:tr w:rsidR="006421E8" w:rsidTr="006421E8">
        <w:trPr>
          <w:trHeight w:val="6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Оплата за уличное освещение по тарифам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Кубаньэнерго согласно показаний счетчиков.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2071,0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2592,0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2060,0</w:t>
            </w:r>
          </w:p>
        </w:tc>
      </w:tr>
    </w:tbl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i/>
          <w:iCs/>
          <w:color w:val="000000"/>
          <w:bdr w:val="none" w:sz="0" w:space="0" w:color="auto" w:frame="1"/>
        </w:rPr>
        <w:t> </w:t>
      </w:r>
    </w:p>
    <w:p w:rsidR="006421E8" w:rsidRDefault="006421E8" w:rsidP="006421E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Программа ориентирована на достижение  основной цели: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на обеспечение качественного и высокоэффективного освещения Старонижестеблиевского сельского поселения Красноармейского района, а также на: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1) проведение единой технической политики в области развития наружного освещения населенных пунктов на основе комплексного подхода к проектированию, строительству новых и реконструкции существующих установок функционального освещения;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2)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надежности;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3) снижение бюджетных затрат на электроэнергию путем замены устаревшего светотехнического оборудования (включая источники света) на новое, энергоэкономичное и установки современных систем автоматики и многотарифных приборов учета электрической энергии;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4) повышение уровня комфортности проживания населения и снижение вероятности возникновения криминогенной обстановки;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5) создание безопасных условий дорожного движения при достижении нормативного уровня освещенности дорог;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6) улучшение экологической обстановки путем снижения количества используемых ртутьсодержащих ламп в наружном освещении.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2. Перечень основных мероприятий муниципальной программы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1035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283"/>
        <w:gridCol w:w="773"/>
        <w:gridCol w:w="1570"/>
        <w:gridCol w:w="1597"/>
        <w:gridCol w:w="1141"/>
        <w:gridCol w:w="1141"/>
        <w:gridCol w:w="1183"/>
        <w:gridCol w:w="1769"/>
        <w:gridCol w:w="2723"/>
      </w:tblGrid>
      <w:tr w:rsidR="006421E8" w:rsidTr="006421E8">
        <w:trPr>
          <w:trHeight w:val="390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№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п/п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Наименование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мероприятия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Статус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Источники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финансирования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Объем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Финансирования всего (тыс. руб.)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 том числе по годам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Непосредственный результат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реализации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мероприятия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Участник муниципальной программы (к примеру, муниципальный заказчик, главный распорядитель(распорядитель) бюджетных средств, исполнитель)</w:t>
            </w:r>
          </w:p>
        </w:tc>
      </w:tr>
      <w:tr w:rsidR="006421E8" w:rsidTr="006421E8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 год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 год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 год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</w:tr>
      <w:tr w:rsidR="006421E8" w:rsidTr="006421E8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</w:tr>
      <w:tr w:rsidR="006421E8" w:rsidTr="006421E8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Развитие бесперебойного и гарантированного удовлетворения потребности населения в части развития систем наружного освещения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Красноармейского района</w:t>
            </w:r>
          </w:p>
        </w:tc>
      </w:tr>
      <w:tr w:rsidR="006421E8" w:rsidTr="006421E8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Задача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на развитие бесперебойного и гарантированного удовлетворения потребности населения в части развития систем наружного освещения Старонижестеблиевского сельского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поселения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Красноармейского района</w:t>
            </w:r>
          </w:p>
        </w:tc>
      </w:tr>
      <w:tr w:rsidR="006421E8" w:rsidTr="006421E8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1.1.1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Развитие и реконструкция (ремонт) систем наружного освещения населенных пунктов Старонижестеблиевского сельского поселения Красноармейского района</w:t>
            </w:r>
          </w:p>
        </w:tc>
      </w:tr>
      <w:tr w:rsidR="006421E8" w:rsidTr="006421E8"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7063,0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2111,0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2702,0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6421E8" w:rsidTr="006421E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7063,0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2111,0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2702,0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6421E8" w:rsidTr="006421E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6421E8" w:rsidTr="006421E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6421E8" w:rsidTr="006421E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21E8" w:rsidRDefault="006421E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6421E8" w:rsidTr="006421E8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6421E8" w:rsidTr="006421E8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Реконструкция систем наружного освещения: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142,0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6421E8" w:rsidTr="006421E8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Текущий ремонт систем наружного освещения Старонижестеблиевского сельского поселения Красноармейского района: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6421E8" w:rsidTr="006421E8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по энергосбережению и повышению энергетической эффективности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6723,0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2071,0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2592,0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2060,0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6421E8" w:rsidRDefault="006421E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</w:tbl>
    <w:p w:rsidR="006421E8" w:rsidRDefault="006421E8" w:rsidP="006421E8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i/>
          <w:iCs/>
          <w:color w:val="000000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Администрация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и Краснодарского края.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Размещение заказов на право заключения муниципального контракта на реализацию программных мероприятий осуществляется в соответствии с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Федеральный закон Российской Федерации от 5 апреля 2013 г. N 44-ФЗ "О контрактной системе в сфере закупок товаров, работ, услуг для обеспечения государственных и муниципальных нужд".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3. Прогноз сводных показателей муниципальных заданий по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этапам реализации муниципальной программы (в случае оказания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муниципальными учреждениями муниципальных услуг (выполнения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работ) юридическим и (или) физическим лицам)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4. Меры муниципального регулирования и управление рисками с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целью минимизации их влияния на достижение целей муниципальной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программы (в случае использования налоговых и иных инструментов)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5. Меры правового регулирования в сфере реализации муниципальной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программы (при наличии)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pStyle w:val="a9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6. Оценка эффективности реализации Программы.</w:t>
      </w:r>
    </w:p>
    <w:p w:rsidR="006421E8" w:rsidRDefault="006421E8" w:rsidP="006421E8">
      <w:pPr>
        <w:pStyle w:val="a9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" w:name="sub_10121"/>
      <w:bookmarkEnd w:id="1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На первом этапе осуществляется оценка эффективности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основных мероприятий, включенных в муниципальную программу, и включает: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реализации мероприятий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и достижения ожидаемых непосредственных результатов их реализации;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соответствия запланированному уровню расходов;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эффективности использования средств местного бюджета;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достижения целей и решения задач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основных мероприятий, входящих в муниципальную программу;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" w:name="sub_10122"/>
      <w:bookmarkEnd w:id="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421E8" w:rsidRDefault="006421E8" w:rsidP="006421E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7. Оценка степени реализации основных мероприятий и достижения</w:t>
      </w:r>
    </w:p>
    <w:p w:rsidR="006421E8" w:rsidRDefault="006421E8" w:rsidP="006421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ожидаемых непосредственных результатов их реализации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3" w:name="sub_1021"/>
      <w:bookmarkEnd w:id="3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= М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r>
        <w:rPr>
          <w:color w:val="333333"/>
          <w:sz w:val="28"/>
          <w:szCs w:val="28"/>
          <w:bdr w:val="none" w:sz="0" w:space="0" w:color="auto" w:frame="1"/>
        </w:rPr>
        <w:t> / М, где: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мероприятий;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r>
        <w:rPr>
          <w:color w:val="333333"/>
          <w:sz w:val="28"/>
          <w:szCs w:val="28"/>
          <w:bdr w:val="none" w:sz="0" w:space="0" w:color="auto" w:frame="1"/>
        </w:rPr>
        <w:t> - количество мероприятий, выполненных в полном объеме, из числа мероприятий, запланированных к реализации в отчетном году;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 - общее количество мероприятий, запланированных к реализации в отчетном году.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4" w:name="sub_1022"/>
      <w:bookmarkEnd w:id="4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Мероприятие может считаться выполненным в полном объеме при достижении следующих результатов: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5" w:name="sub_10221"/>
      <w:bookmarkEnd w:id="5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6" w:name="sub_10223"/>
      <w:bookmarkEnd w:id="6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p w:rsidR="006421E8" w:rsidRDefault="006421E8" w:rsidP="006421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36"/>
          <w:szCs w:val="36"/>
          <w:bdr w:val="none" w:sz="0" w:space="0" w:color="auto" w:frame="1"/>
        </w:rPr>
        <w:t> </w:t>
      </w:r>
    </w:p>
    <w:p w:rsidR="006421E8" w:rsidRDefault="006421E8" w:rsidP="006421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8. Оценка степени соответствия запланированному уровню расходов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7" w:name="sub_1031"/>
      <w:bookmarkEnd w:id="7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= 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r>
        <w:rPr>
          <w:color w:val="333333"/>
          <w:sz w:val="28"/>
          <w:szCs w:val="28"/>
          <w:bdr w:val="none" w:sz="0" w:space="0" w:color="auto" w:frame="1"/>
        </w:rPr>
        <w:t> / 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r>
        <w:rPr>
          <w:color w:val="333333"/>
          <w:sz w:val="28"/>
          <w:szCs w:val="28"/>
          <w:bdr w:val="none" w:sz="0" w:space="0" w:color="auto" w:frame="1"/>
        </w:rPr>
        <w:t> - фактические расходы на реализацию основного мероприятия в отчетном году;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  <w:bdr w:val="none" w:sz="0" w:space="0" w:color="auto" w:frame="1"/>
        </w:rPr>
        <w:t> - объемы бюджетных ассигнований, предусмотренные на реализацию соответствующей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8" w:name="sub_1032"/>
      <w:bookmarkEnd w:id="8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6421E8" w:rsidRDefault="006421E8" w:rsidP="006421E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9" w:name="sub_104"/>
      <w:bookmarkEnd w:id="9"/>
      <w:r>
        <w:rPr>
          <w:b/>
          <w:bCs/>
          <w:color w:val="00387E"/>
          <w:sz w:val="28"/>
          <w:szCs w:val="28"/>
          <w:bdr w:val="none" w:sz="0" w:space="0" w:color="auto" w:frame="1"/>
        </w:rPr>
        <w:t>9. Оценка эффективности использования средств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бюджета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по следующей формуле: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/ 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мероприятий, полностью или частично финансируемых из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бюджета.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Если доля финансового обеспечения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бюджета составляет менее 75%, по решению координатора муниципальной программы показатель оценки эффективности использования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/ 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финансовых ресурсов на реализацию основного мероприятия;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всех мероприятий;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всех источников.</w:t>
      </w:r>
    </w:p>
    <w:p w:rsidR="006421E8" w:rsidRDefault="006421E8" w:rsidP="006421E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0" w:name="sub_105"/>
      <w:bookmarkEnd w:id="10"/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10. Оценка степени достижения целей и решения задач</w:t>
      </w:r>
    </w:p>
    <w:p w:rsidR="006421E8" w:rsidRDefault="006421E8" w:rsidP="006421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основного мероприятия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1" w:name="sub_1051"/>
      <w:bookmarkEnd w:id="11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10.1.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2" w:name="sub_1052"/>
      <w:bookmarkEnd w:id="1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10.2. Степень достижения планового значения целевого показателя рассчитывается по следующим формулам: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,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основного мероприятия;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 - значение целевого показателя основного мероприятия фактически достигнутое на конец отчетного периода;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 основного мероприятия.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3" w:name="sub_1053"/>
      <w:bookmarkEnd w:id="13"/>
      <w:r>
        <w:rPr>
          <w:color w:val="333333"/>
          <w:sz w:val="28"/>
          <w:szCs w:val="28"/>
          <w:bdr w:val="none" w:sz="0" w:space="0" w:color="auto" w:frame="1"/>
        </w:rPr>
        <w:t>10.3. Степень реализации основного мероприятия рассчитывается по формуле: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основного мероприятия;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N - число целевых показателей основного мероприятия.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использовании данной формуле в случаях, если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&gt;1, значение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принимается равным 1.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r>
        <w:rPr>
          <w:color w:val="333333"/>
          <w:sz w:val="28"/>
          <w:szCs w:val="28"/>
          <w:bdr w:val="none" w:sz="0" w:space="0" w:color="auto" w:frame="1"/>
        </w:rPr>
        <w:t> - удельный вес, отражающий значимость целевого показателя, =1.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4" w:name="sub_106"/>
      <w:bookmarkEnd w:id="14"/>
      <w:r>
        <w:rPr>
          <w:b/>
          <w:bCs/>
          <w:color w:val="00387E"/>
          <w:sz w:val="28"/>
          <w:szCs w:val="28"/>
          <w:bdr w:val="none" w:sz="0" w:space="0" w:color="auto" w:frame="1"/>
        </w:rPr>
        <w:t>11. Оценка эффективности реализации основного мероприятия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5" w:name="sub_1061"/>
      <w:bookmarkEnd w:id="15"/>
      <w:r>
        <w:rPr>
          <w:color w:val="333333"/>
          <w:sz w:val="28"/>
          <w:szCs w:val="28"/>
          <w:bdr w:val="none" w:sz="0" w:space="0" w:color="auto" w:frame="1"/>
        </w:rPr>
        <w:t>11.1.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18"/>
          <w:szCs w:val="18"/>
          <w:bdr w:val="none" w:sz="0" w:space="0" w:color="auto" w:frame="1"/>
        </w:rPr>
        <w:t>х</w:t>
      </w:r>
      <w:r>
        <w:rPr>
          <w:color w:val="333333"/>
          <w:sz w:val="28"/>
          <w:szCs w:val="28"/>
          <w:bdr w:val="none" w:sz="0" w:space="0" w:color="auto" w:frame="1"/>
        </w:rPr>
        <w:t> 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6" w:name="sub_1062"/>
      <w:bookmarkEnd w:id="16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11.2. 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высокой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0,9.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средней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0,8.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удовлетворительной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0,7.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остальных случаях 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неудовлетворительной.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7" w:name="sub_107"/>
      <w:bookmarkEnd w:id="17"/>
      <w:r>
        <w:rPr>
          <w:b/>
          <w:bCs/>
          <w:color w:val="00387E"/>
          <w:sz w:val="28"/>
          <w:szCs w:val="28"/>
          <w:bdr w:val="none" w:sz="0" w:space="0" w:color="auto" w:frame="1"/>
        </w:rPr>
        <w:t>12. Оценка степени достижения целей и решения задач</w:t>
      </w:r>
    </w:p>
    <w:p w:rsidR="006421E8" w:rsidRDefault="006421E8" w:rsidP="006421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муниципальной программы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8" w:name="sub_1071"/>
      <w:bookmarkEnd w:id="18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9" w:name="sub_1072"/>
      <w:bookmarkEnd w:id="19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,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показателя, характеризующего цели и задачи муниципальной программы;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 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показателя, характеризующего цели и задачи муниципальной программы.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0" w:name="sub_1073"/>
      <w:bookmarkEnd w:id="20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12.3. Степень реализации муниципальной программы рассчитывается по формуле:</w:t>
      </w:r>
    </w:p>
    <w:p w:rsidR="006421E8" w:rsidRDefault="006421E8" w:rsidP="006421E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 - число целевых показателей, характеризующих цели и задачи муниципальной программы.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использовании данной формулы в случаях, если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&gt;1, значение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принимается равным 1.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r>
        <w:rPr>
          <w:color w:val="333333"/>
          <w:sz w:val="28"/>
          <w:szCs w:val="28"/>
          <w:bdr w:val="none" w:sz="0" w:space="0" w:color="auto" w:frame="1"/>
        </w:rPr>
        <w:t> - удельный вес, отражающий значимость показателя,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= 1.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21" w:name="sub_108"/>
      <w:bookmarkEnd w:id="21"/>
      <w:r>
        <w:rPr>
          <w:b/>
          <w:bCs/>
          <w:color w:val="00387E"/>
          <w:sz w:val="36"/>
          <w:szCs w:val="36"/>
          <w:bdr w:val="none" w:sz="0" w:space="0" w:color="auto" w:frame="1"/>
        </w:rPr>
        <w:t>13. Оценка эффективности реализации муниципальной программы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2" w:name="sub_1081"/>
      <w:bookmarkEnd w:id="2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13.1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муниципальной программы;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- коэффициент значимости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определяется по формуле: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= Ф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/ Ф, где: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Ф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- объем фактических расходов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(кассового исполнения) на реализацию j-той основного мероприятия в отчетном году;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Ф - объем фактических расходов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(кассового исполнения) на реализацию муниципальной программы;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j - количество основных мероприятий.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3" w:name="sub_1082"/>
      <w:bookmarkEnd w:id="23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13.2. Эффективность реализации муниципальной программы признается высокой в случае, если значение ЭРмп составляет не менее 0,90.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В остальных случаях эффективность реализации муниципальной программы признается неудовлетворительной.</w:t>
      </w:r>
    </w:p>
    <w:p w:rsidR="006421E8" w:rsidRDefault="006421E8" w:rsidP="006421E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Реализация мероприятий Программы позволит: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1) создать комфортные условия для проживания населения в Старонижестеблиевском сельском поселении Красноармейского района;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2) сократить ориентировочно в 1,4 раза расходы бюджетных средств и средств населения на оплату электрической энергии, используемой на наружное освещение, в результате использования энергоэкономичных ламп даже при увеличении количества часов горения ламп в системах освещения до нормативных (4016 часов в год);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3) сократить расходы на утилизацию ртутных ламп, что позволит помимо экономического эффекта получить и экологический эффект;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4) получить нормативные параметры освещенности территории согласно требованиям СНиП 23-05-95 "Естественное и искусственное освещение";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5) сократить эксплуатационные расходы органов местного самоуправления поселений на обслуживание систем освещения;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6) повысить надежность работы сетей, снизить количество аварий наружного освещения и отказов его оборудования;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7) сформировать вечерний световой облик населенных пунктов Старонижестеблиевского сельского поселения Красноармейского района;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8) повысить уровень безопасности дорожного движения в темное время суток;</w:t>
      </w:r>
    </w:p>
    <w:p w:rsidR="006421E8" w:rsidRDefault="006421E8" w:rsidP="006421E8">
      <w:pPr>
        <w:pStyle w:val="consplusnormal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9) обеспечить комфортные и безопасные условия для проживания населения и оживление экономической деятельности.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Координатор ежегодно представляет информацию о ходе выполнения мероприятий Программы Главе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до 01 апреля года, следующего за отчетным, также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Отчет о реализации мероприятий Программы и использовании бюджетных средств администрация сельского поселения представляется Совету депутатов Старонижестеблиевского сельского поселения Красноармейского района.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421E8" w:rsidRDefault="006421E8" w:rsidP="006421E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Заместитель главы </w:t>
      </w:r>
    </w:p>
    <w:p w:rsidR="006421E8" w:rsidRDefault="006421E8" w:rsidP="006421E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</w:p>
    <w:p w:rsidR="006421E8" w:rsidRDefault="006421E8" w:rsidP="006421E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</w:t>
      </w:r>
    </w:p>
    <w:p w:rsidR="006421E8" w:rsidRDefault="006421E8" w:rsidP="006421E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                                                       Е.Е.Черепанова</w:t>
      </w:r>
    </w:p>
    <w:p w:rsidR="006421E8" w:rsidRDefault="006421E8" w:rsidP="006421E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251257" w:rsidRPr="006421E8" w:rsidRDefault="00251257" w:rsidP="006421E8"/>
    <w:sectPr w:rsidR="00251257" w:rsidRPr="0064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0196"/>
    <w:multiLevelType w:val="multilevel"/>
    <w:tmpl w:val="325C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86857"/>
    <w:multiLevelType w:val="multilevel"/>
    <w:tmpl w:val="1818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C5DAD"/>
    <w:multiLevelType w:val="multilevel"/>
    <w:tmpl w:val="E5E4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76CD2"/>
    <w:multiLevelType w:val="multilevel"/>
    <w:tmpl w:val="F644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5E"/>
    <w:rsid w:val="0018090F"/>
    <w:rsid w:val="00251257"/>
    <w:rsid w:val="0040755E"/>
    <w:rsid w:val="006421E8"/>
    <w:rsid w:val="0067538D"/>
    <w:rsid w:val="00EE5AE8"/>
    <w:rsid w:val="00F8317C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7DBB"/>
  <w15:chartTrackingRefBased/>
  <w15:docId w15:val="{F98ACCB7-4549-463A-8D6E-00C474D3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7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5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755E"/>
    <w:rPr>
      <w:color w:val="0000FF"/>
      <w:u w:val="single"/>
    </w:rPr>
  </w:style>
  <w:style w:type="paragraph" w:customStyle="1" w:styleId="email-icon">
    <w:name w:val="email-icon"/>
    <w:basedOn w:val="a"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7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1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EE5A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E5AE8"/>
  </w:style>
  <w:style w:type="paragraph" w:customStyle="1" w:styleId="msonormal0">
    <w:name w:val="msonormal"/>
    <w:basedOn w:val="a"/>
    <w:rsid w:val="00EE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E5AE8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EE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1c8e6e1900316fca7a796a956760260ada8f74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1-37-10/2016-09-28-10-56-04/157-o-vnesenii-izmenenij-v-postanovlenie-administratsii-ot-11-dekabrya-2014-goda-386-o-razvitii-toplivno-energeticheskogo-kompleks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4208</Words>
  <Characters>23988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2018-08-07T13:38:00Z</dcterms:created>
  <dcterms:modified xsi:type="dcterms:W3CDTF">2018-08-07T13:38:00Z</dcterms:modified>
</cp:coreProperties>
</file>