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54" w:rsidRDefault="00D37A54" w:rsidP="00D37A54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Проект 46.6 о внесении изменений в решение от 27.12.2016 г. № 43 «Об установлении налога на имущество физических лиц»</w:t>
      </w:r>
    </w:p>
    <w:bookmarkEnd w:id="0"/>
    <w:p w:rsidR="00D37A54" w:rsidRDefault="00D37A54" w:rsidP="00D37A54">
      <w:pPr>
        <w:pStyle w:val="print-ico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54" name="Рисунок 54" descr="Print">
              <a:hlinkClick xmlns:a="http://schemas.openxmlformats.org/drawingml/2006/main" r:id="rId5" tooltip="&quot;Print article &lt; Проект 46.6 о внесении изменений в решение от 27.12.2016 г. № 43 «Об установлении налога на имущество физических лиц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Print">
                      <a:hlinkClick r:id="rId5" tooltip="&quot;Print article &lt; Проект 46.6 о внесении изменений в решение от 27.12.2016 г. № 43 «Об установлении налога на имущество физических лиц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54" w:rsidRDefault="00D37A54" w:rsidP="00D37A54">
      <w:pPr>
        <w:pStyle w:val="email-ico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53" name="Рисунок 5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54" w:rsidRDefault="00D37A54" w:rsidP="00D37A5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ПРОЕКТ</w:t>
      </w:r>
    </w:p>
    <w:p w:rsidR="00D37A54" w:rsidRDefault="00D37A54" w:rsidP="00D37A5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D37A54" w:rsidRDefault="00D37A54" w:rsidP="00D37A5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D37A54" w:rsidRDefault="00D37A54" w:rsidP="00D37A5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D37A54" w:rsidRDefault="00D37A54" w:rsidP="00D37A5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РЕШЕНИЕ</w:t>
      </w:r>
    </w:p>
    <w:p w:rsidR="00D37A54" w:rsidRDefault="00D37A54" w:rsidP="00D37A5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D37A54" w:rsidRDefault="00D37A54" w:rsidP="00D37A5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«_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_»_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________2017 года                                                                          № ___</w:t>
      </w:r>
    </w:p>
    <w:p w:rsidR="00D37A54" w:rsidRDefault="00D37A54" w:rsidP="00D37A5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станица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Старонижестеблиевская</w:t>
      </w:r>
      <w:proofErr w:type="spellEnd"/>
    </w:p>
    <w:p w:rsidR="00D37A54" w:rsidRDefault="00D37A54" w:rsidP="00D37A5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D37A54" w:rsidRDefault="00D37A54" w:rsidP="00D37A5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 </w:t>
      </w:r>
    </w:p>
    <w:p w:rsidR="00D37A54" w:rsidRDefault="00D37A54" w:rsidP="00D37A54">
      <w:pPr>
        <w:pStyle w:val="1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" w:name="_Toc105952706"/>
      <w:bookmarkEnd w:id="1"/>
      <w:r>
        <w:rPr>
          <w:rFonts w:ascii="inherit" w:hAnsi="inherit" w:cs="Arial"/>
          <w:color w:val="00387E"/>
          <w:sz w:val="27"/>
          <w:szCs w:val="27"/>
          <w:bdr w:val="none" w:sz="0" w:space="0" w:color="auto" w:frame="1"/>
        </w:rPr>
        <w:t xml:space="preserve">О внесении изменений в решение Совета </w:t>
      </w:r>
      <w:proofErr w:type="spellStart"/>
      <w:r>
        <w:rPr>
          <w:rFonts w:ascii="inherit" w:hAnsi="inherit" w:cs="Arial"/>
          <w:color w:val="00387E"/>
          <w:sz w:val="27"/>
          <w:szCs w:val="27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00387E"/>
          <w:sz w:val="27"/>
          <w:szCs w:val="27"/>
          <w:bdr w:val="none" w:sz="0" w:space="0" w:color="auto" w:frame="1"/>
        </w:rPr>
        <w:t xml:space="preserve"> сельского поселения Красноармейского района от 27 октября 2016 года № 43 «Об установлении налога на имущество физических лиц»</w:t>
      </w:r>
    </w:p>
    <w:p w:rsidR="00D37A54" w:rsidRDefault="00D37A54" w:rsidP="00D37A5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 </w:t>
      </w:r>
    </w:p>
    <w:p w:rsidR="00D37A54" w:rsidRDefault="00D37A54" w:rsidP="00D37A54">
      <w:pPr>
        <w:pStyle w:val="33"/>
        <w:shd w:val="clear" w:color="auto" w:fill="FFFFFF"/>
        <w:spacing w:after="0" w:line="384" w:lineRule="atLeast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главой 32 Налогового кодекса Российской Федерации Федеральным законом от 30.09.2017 года № 286-ФЗ «О внесении изменений в часть вторую Налогового кодекса Российской Федерации и отдельные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налогообложения», Уставом </w:t>
      </w:r>
      <w:proofErr w:type="spellStart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 сельского поселения Красноармейского района Совет </w:t>
      </w:r>
      <w:proofErr w:type="spellStart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 сельского поселения Красноармейского района р е ш и л:</w:t>
      </w:r>
    </w:p>
    <w:p w:rsidR="00D37A54" w:rsidRDefault="00D37A54" w:rsidP="00D37A54">
      <w:pPr>
        <w:pStyle w:val="33"/>
        <w:shd w:val="clear" w:color="auto" w:fill="FFFFFF"/>
        <w:spacing w:after="0" w:line="384" w:lineRule="atLeast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Внести в решение Совета </w:t>
      </w:r>
      <w:proofErr w:type="spellStart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 сельского поселения </w:t>
      </w:r>
      <w:proofErr w:type="spellStart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Красноармейскго</w:t>
      </w:r>
      <w:proofErr w:type="spellEnd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 района от 27 октября 2016 года № 43 «О налоге на имущество физических лиц» следующие изменения:</w:t>
      </w:r>
    </w:p>
    <w:p w:rsidR="00D37A54" w:rsidRDefault="00D37A54" w:rsidP="00D37A54">
      <w:pPr>
        <w:pStyle w:val="33"/>
        <w:shd w:val="clear" w:color="auto" w:fill="FFFFFF"/>
        <w:spacing w:after="0" w:line="384" w:lineRule="atLeast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Пункт 2 решения Совета </w:t>
      </w:r>
      <w:proofErr w:type="spellStart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 сельского поселения </w:t>
      </w:r>
      <w:proofErr w:type="spellStart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Красноармейскго</w:t>
      </w:r>
      <w:proofErr w:type="spellEnd"/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 xml:space="preserve"> района от 27 октября 2016 года № 43 «О налоге на имущество физических лиц» изложить в следующей редакции:</w:t>
      </w:r>
    </w:p>
    <w:p w:rsidR="00D37A54" w:rsidRDefault="00D37A54" w:rsidP="00D37A54">
      <w:pPr>
        <w:shd w:val="clear" w:color="auto" w:fill="FFFFFF"/>
        <w:spacing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1.</w:t>
      </w:r>
      <w:r>
        <w:rPr>
          <w:color w:val="333333"/>
          <w:sz w:val="14"/>
          <w:szCs w:val="14"/>
          <w:bdr w:val="none" w:sz="0" w:space="0" w:color="auto" w:frame="1"/>
        </w:rPr>
        <w:t>                 </w:t>
      </w: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6"/>
        <w:gridCol w:w="2459"/>
      </w:tblGrid>
      <w:tr w:rsidR="00D37A54" w:rsidTr="00D37A54"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Объекты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налогообложения</w:t>
            </w:r>
            <w:proofErr w:type="spellEnd"/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Налоговая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ставка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, %</w:t>
            </w:r>
          </w:p>
        </w:tc>
      </w:tr>
      <w:tr w:rsidR="00D37A54" w:rsidTr="00D37A54">
        <w:trPr>
          <w:trHeight w:val="344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- гаражи и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машино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-места;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 0,1</w:t>
            </w:r>
          </w:p>
        </w:tc>
      </w:tr>
      <w:tr w:rsidR="00D37A54" w:rsidTr="00D37A54">
        <w:trPr>
          <w:trHeight w:val="399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 жилые дома; квартиры, комнаты;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0,3</w:t>
            </w:r>
          </w:p>
        </w:tc>
      </w:tr>
      <w:tr w:rsidR="00D37A54" w:rsidTr="00D37A54"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D37A54" w:rsidRDefault="00D37A5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D37A54" w:rsidRDefault="00D37A5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ind w:firstLine="709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0,3</w:t>
            </w:r>
          </w:p>
        </w:tc>
      </w:tr>
      <w:tr w:rsidR="00D37A54" w:rsidTr="00D37A54">
        <w:trPr>
          <w:trHeight w:val="1972"/>
        </w:trPr>
        <w:tc>
          <w:tcPr>
            <w:tcW w:w="71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after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- объекты налогообложения, включенные в перечень, определяемый в соответствии с </w:t>
            </w:r>
            <w:hyperlink r:id="rId9" w:history="1">
              <w:r>
                <w:rPr>
                  <w:rStyle w:val="aa"/>
                  <w:sz w:val="28"/>
                  <w:szCs w:val="28"/>
                  <w:bdr w:val="none" w:sz="0" w:space="0" w:color="auto" w:frame="1"/>
                </w:rPr>
                <w:t>п.7 ст.378.2</w:t>
              </w:r>
            </w:hyperlink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НК РФ, в отношении объектов налогообложения, предусмотренных </w:t>
            </w:r>
            <w:proofErr w:type="spellStart"/>
            <w:r>
              <w:rPr>
                <w:rFonts w:ascii="inherit" w:hAnsi="inherit" w:cs="Arial"/>
                <w:color w:val="333333"/>
                <w:sz w:val="19"/>
                <w:szCs w:val="19"/>
              </w:rPr>
              <w:fldChar w:fldCharType="begin"/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instrText xml:space="preserve"> HYPERLINK "garantf1://10800200.3782102" </w:instrTex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fldChar w:fldCharType="separate"/>
            </w:r>
            <w:r>
              <w:rPr>
                <w:rStyle w:val="aa"/>
                <w:sz w:val="28"/>
                <w:szCs w:val="28"/>
                <w:bdr w:val="none" w:sz="0" w:space="0" w:color="auto" w:frame="1"/>
              </w:rPr>
              <w:t>абз</w:t>
            </w:r>
            <w:proofErr w:type="spellEnd"/>
            <w:r>
              <w:rPr>
                <w:rStyle w:val="aa"/>
                <w:sz w:val="28"/>
                <w:szCs w:val="28"/>
                <w:bdr w:val="none" w:sz="0" w:space="0" w:color="auto" w:frame="1"/>
              </w:rPr>
              <w:t>. 2 п.10 ст.378.2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fldChar w:fldCharType="end"/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НК РФ;</w:t>
            </w:r>
          </w:p>
          <w:p w:rsidR="00D37A54" w:rsidRDefault="00D37A5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</w:t>
            </w:r>
          </w:p>
          <w:p w:rsidR="00D37A54" w:rsidRDefault="00D37A54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D37A54" w:rsidRDefault="00D37A54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     2</w:t>
            </w:r>
          </w:p>
          <w:p w:rsidR="00D37A54" w:rsidRDefault="00D37A54">
            <w:pPr>
              <w:spacing w:line="312" w:lineRule="atLeast"/>
              <w:ind w:firstLine="709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37A54" w:rsidTr="00D37A54"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3) прочие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A54" w:rsidRDefault="00D37A54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0,5</w:t>
            </w:r>
          </w:p>
        </w:tc>
      </w:tr>
    </w:tbl>
    <w:p w:rsidR="00D37A54" w:rsidRDefault="00D37A54" w:rsidP="00D37A54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4. Контроль за выполнением настоящего решения возложить на постоянную комиссию по вопросам экономики, бюджету, налогам и распоряжению муниципальной собственностью (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Борисенкова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).</w:t>
      </w:r>
    </w:p>
    <w:p w:rsidR="00D37A54" w:rsidRDefault="00D37A54" w:rsidP="00D37A54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5. Настоящее Решение вступает в силу с 1 января 2018 года</w:t>
      </w:r>
      <w:r>
        <w:rPr>
          <w:rFonts w:ascii="inherit" w:hAnsi="inherit" w:cs="Arial"/>
          <w:i/>
          <w:iCs/>
          <w:color w:val="333333"/>
          <w:sz w:val="27"/>
          <w:szCs w:val="27"/>
          <w:bdr w:val="none" w:sz="0" w:space="0" w:color="auto" w:frame="1"/>
        </w:rPr>
        <w:t>, </w:t>
      </w:r>
      <w:r>
        <w:rPr>
          <w:rFonts w:ascii="inherit" w:hAnsi="inherit" w:cs="Arial"/>
          <w:color w:val="333333"/>
          <w:sz w:val="27"/>
          <w:szCs w:val="27"/>
          <w:bdr w:val="none" w:sz="0" w:space="0" w:color="auto" w:frame="1"/>
        </w:rPr>
        <w:t>но не ранее, чем по истечении одного месяца со дня его официального опубликования.</w:t>
      </w:r>
    </w:p>
    <w:p w:rsidR="00D37A54" w:rsidRDefault="00D37A54" w:rsidP="00D37A5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D37A54" w:rsidRDefault="00D37A54" w:rsidP="00D37A5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D37A54" w:rsidRDefault="00D37A54" w:rsidP="00D37A5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D37A54" w:rsidRDefault="00D37A54" w:rsidP="00D37A5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D37A54" w:rsidRDefault="00D37A54" w:rsidP="00D37A5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D37A54" w:rsidRDefault="00D37A54" w:rsidP="00D37A5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D37A54" w:rsidRDefault="00D37A54" w:rsidP="00D37A5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Т.В.Дьяченко</w:t>
      </w:r>
    </w:p>
    <w:p w:rsidR="00D37A54" w:rsidRDefault="00D37A54" w:rsidP="00D37A5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D37A54" w:rsidRDefault="00D37A54" w:rsidP="00D37A5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Глава</w:t>
      </w:r>
    </w:p>
    <w:p w:rsidR="00D37A54" w:rsidRDefault="00D37A54" w:rsidP="00D37A5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D37A54" w:rsidRDefault="00D37A54" w:rsidP="00D37A5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D37A54" w:rsidRDefault="00D37A54" w:rsidP="00D37A5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      В.В.Новак</w:t>
      </w:r>
    </w:p>
    <w:p w:rsidR="00251257" w:rsidRPr="00D37A54" w:rsidRDefault="00251257" w:rsidP="00D37A54"/>
    <w:sectPr w:rsidR="00251257" w:rsidRPr="00D3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9CA"/>
    <w:multiLevelType w:val="multilevel"/>
    <w:tmpl w:val="FDE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E70"/>
    <w:multiLevelType w:val="multilevel"/>
    <w:tmpl w:val="655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93343"/>
    <w:multiLevelType w:val="multilevel"/>
    <w:tmpl w:val="BC3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80CD2"/>
    <w:multiLevelType w:val="multilevel"/>
    <w:tmpl w:val="01E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838EC"/>
    <w:multiLevelType w:val="multilevel"/>
    <w:tmpl w:val="F2B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D1BF3"/>
    <w:multiLevelType w:val="multilevel"/>
    <w:tmpl w:val="DA3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4"/>
  </w:num>
  <w:num w:numId="5">
    <w:abstractNumId w:val="26"/>
  </w:num>
  <w:num w:numId="6">
    <w:abstractNumId w:val="9"/>
  </w:num>
  <w:num w:numId="7">
    <w:abstractNumId w:val="16"/>
  </w:num>
  <w:num w:numId="8">
    <w:abstractNumId w:val="3"/>
  </w:num>
  <w:num w:numId="9">
    <w:abstractNumId w:val="5"/>
  </w:num>
  <w:num w:numId="10">
    <w:abstractNumId w:val="21"/>
  </w:num>
  <w:num w:numId="11">
    <w:abstractNumId w:val="17"/>
  </w:num>
  <w:num w:numId="12">
    <w:abstractNumId w:val="11"/>
  </w:num>
  <w:num w:numId="13">
    <w:abstractNumId w:val="18"/>
  </w:num>
  <w:num w:numId="14">
    <w:abstractNumId w:val="20"/>
  </w:num>
  <w:num w:numId="15">
    <w:abstractNumId w:val="22"/>
  </w:num>
  <w:num w:numId="16">
    <w:abstractNumId w:val="15"/>
  </w:num>
  <w:num w:numId="17">
    <w:abstractNumId w:val="13"/>
  </w:num>
  <w:num w:numId="18">
    <w:abstractNumId w:val="8"/>
  </w:num>
  <w:num w:numId="19">
    <w:abstractNumId w:val="12"/>
  </w:num>
  <w:num w:numId="20">
    <w:abstractNumId w:val="0"/>
  </w:num>
  <w:num w:numId="21">
    <w:abstractNumId w:val="4"/>
  </w:num>
  <w:num w:numId="22">
    <w:abstractNumId w:val="23"/>
  </w:num>
  <w:num w:numId="23">
    <w:abstractNumId w:val="2"/>
  </w:num>
  <w:num w:numId="24">
    <w:abstractNumId w:val="10"/>
  </w:num>
  <w:num w:numId="25">
    <w:abstractNumId w:val="7"/>
  </w:num>
  <w:num w:numId="26">
    <w:abstractNumId w:val="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2C4B"/>
    <w:rsid w:val="000B1119"/>
    <w:rsid w:val="0012664B"/>
    <w:rsid w:val="00251257"/>
    <w:rsid w:val="0026578A"/>
    <w:rsid w:val="0029327D"/>
    <w:rsid w:val="0039665D"/>
    <w:rsid w:val="004309AF"/>
    <w:rsid w:val="004F568A"/>
    <w:rsid w:val="005C117C"/>
    <w:rsid w:val="005E22BC"/>
    <w:rsid w:val="0069688C"/>
    <w:rsid w:val="007A3748"/>
    <w:rsid w:val="00946C8E"/>
    <w:rsid w:val="00995F13"/>
    <w:rsid w:val="00A44C67"/>
    <w:rsid w:val="00A81CF0"/>
    <w:rsid w:val="00B3660D"/>
    <w:rsid w:val="00BA0D01"/>
    <w:rsid w:val="00BF4DC4"/>
    <w:rsid w:val="00D37A5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  <w:style w:type="paragraph" w:styleId="ad">
    <w:name w:val="header"/>
    <w:basedOn w:val="a"/>
    <w:link w:val="af"/>
    <w:uiPriority w:val="99"/>
    <w:semiHidden/>
    <w:unhideWhenUsed/>
    <w:rsid w:val="004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d"/>
    <w:uiPriority w:val="99"/>
    <w:semiHidden/>
    <w:rsid w:val="004F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88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6968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88C"/>
  </w:style>
  <w:style w:type="paragraph" w:styleId="af0">
    <w:name w:val="Body Text Indent"/>
    <w:basedOn w:val="a"/>
    <w:link w:val="af1"/>
    <w:uiPriority w:val="99"/>
    <w:semiHidden/>
    <w:unhideWhenUsed/>
    <w:rsid w:val="006968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9688C"/>
  </w:style>
  <w:style w:type="paragraph" w:styleId="33">
    <w:name w:val="Body Text Indent 3"/>
    <w:basedOn w:val="a"/>
    <w:link w:val="34"/>
    <w:uiPriority w:val="99"/>
    <w:semiHidden/>
    <w:unhideWhenUsed/>
    <w:rsid w:val="00D37A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7A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42edf3d20956d139f36620bb762b83f1cebe6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3-49-17/2016-09-29-16-28-18/85-46-2017/401-proekt-46-6-o-vnesenii-izmenenij-v-reshenie-ot-27-12-2016-g-43-ob-ustanovlenii-naloga-na-imushchestvo-fizicheskikh-lits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800200.37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2018-08-07T11:54:00Z</dcterms:created>
  <dcterms:modified xsi:type="dcterms:W3CDTF">2018-08-07T11:54:00Z</dcterms:modified>
</cp:coreProperties>
</file>