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725" w:rsidRDefault="00212725" w:rsidP="00212725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Решение № 52 от 10.11.2016 г. об обнародовании отчета об исполнении индикативного плана социально-экономического развития за 2015 год</w:t>
      </w:r>
    </w:p>
    <w:bookmarkEnd w:id="0"/>
    <w:p w:rsidR="00212725" w:rsidRDefault="00212725" w:rsidP="00212725">
      <w:pPr>
        <w:pStyle w:val="print-ico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4" name="Рисунок 4" descr="Print">
              <a:hlinkClick xmlns:a="http://schemas.openxmlformats.org/drawingml/2006/main" r:id="rId5" tooltip="&quot;Print article &lt; Решение № 52 от 10.11.2016 г. об обнародовании отчета об исполнении индикативного плана социально-экономического развития за 2015 год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nt">
                      <a:hlinkClick r:id="rId5" tooltip="&quot;Print article &lt; Решение № 52 от 10.11.2016 г. об обнародовании отчета об исполнении индикативного плана социально-экономического развития за 2015 год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725" w:rsidRDefault="00212725" w:rsidP="00212725">
      <w:pPr>
        <w:pStyle w:val="email-ico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3" name="Рисунок 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725" w:rsidRDefault="00212725" w:rsidP="00212725">
      <w:pPr>
        <w:pStyle w:val="a3"/>
        <w:shd w:val="clear" w:color="auto" w:fill="FFFFFF"/>
        <w:spacing w:before="0" w:beforeAutospacing="0" w:after="24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РЕШЕНИЕ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"10" 11 2016 года                         станица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Старонижестеблиевская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                    № 52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Об обнародовании отчета об исполнении индикативного плана социально-экономического развития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за 2015 год, назначении даты проведения </w:t>
      </w:r>
      <w:r>
        <w:rPr>
          <w:rFonts w:ascii="Arial" w:hAnsi="Arial" w:cs="Arial"/>
          <w:color w:val="333333"/>
          <w:sz w:val="19"/>
          <w:szCs w:val="19"/>
        </w:rPr>
        <w:br/>
        <w:t>публичных слушаний по данному вопросу и создании </w:t>
      </w:r>
      <w:r>
        <w:rPr>
          <w:rFonts w:ascii="Arial" w:hAnsi="Arial" w:cs="Arial"/>
          <w:color w:val="333333"/>
          <w:sz w:val="19"/>
          <w:szCs w:val="19"/>
        </w:rPr>
        <w:br/>
        <w:t>организационного комитета по проведению публичных слушаний</w:t>
      </w:r>
    </w:p>
    <w:p w:rsidR="00212725" w:rsidRDefault="00212725" w:rsidP="00212725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   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статьи 17 Устава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района,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р е ш и л:</w:t>
      </w:r>
      <w:r>
        <w:rPr>
          <w:rFonts w:ascii="Arial" w:hAnsi="Arial" w:cs="Arial"/>
          <w:color w:val="333333"/>
          <w:sz w:val="19"/>
          <w:szCs w:val="19"/>
        </w:rPr>
        <w:br/>
        <w:t xml:space="preserve">1. Обнародовать отчет об исполнении индикативного плана социально-экономического развития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за 2015 год (приложение № 1).</w:t>
      </w:r>
      <w:r>
        <w:rPr>
          <w:rFonts w:ascii="Arial" w:hAnsi="Arial" w:cs="Arial"/>
          <w:color w:val="333333"/>
          <w:sz w:val="19"/>
          <w:szCs w:val="19"/>
        </w:rPr>
        <w:br/>
        <w:t xml:space="preserve">2. Назначить проведение публичных слушаний по теме: «Рассмотрение отчета об исполнении индикативного плана социально-экономического развития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за 2014 год» на 22 ноября 2016 года.</w:t>
      </w:r>
      <w:r>
        <w:rPr>
          <w:rFonts w:ascii="Arial" w:hAnsi="Arial" w:cs="Arial"/>
          <w:color w:val="333333"/>
          <w:sz w:val="19"/>
          <w:szCs w:val="19"/>
        </w:rPr>
        <w:br/>
        <w:t xml:space="preserve">3. Создать организационный комитет по проведению публичных слушаний по теме ««Рассмотрение отчета об исполнении индикативного плана социально-экономического развития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за 2015 год»» (приложение № 2).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4. Утвердить порядок учета предложений и участия граждан в обсуждении отчета об исполнении индикативного плана социально-экономического развития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за 2015 год (приложение № 3).</w:t>
      </w:r>
      <w:r>
        <w:rPr>
          <w:rFonts w:ascii="Arial" w:hAnsi="Arial" w:cs="Arial"/>
          <w:color w:val="333333"/>
          <w:sz w:val="19"/>
          <w:szCs w:val="19"/>
        </w:rPr>
        <w:br/>
        <w:t>5.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Борисенкова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>).</w:t>
      </w:r>
      <w:r>
        <w:rPr>
          <w:rFonts w:ascii="Arial" w:hAnsi="Arial" w:cs="Arial"/>
          <w:color w:val="333333"/>
          <w:sz w:val="19"/>
          <w:szCs w:val="19"/>
        </w:rPr>
        <w:br/>
        <w:t>6. Настоящее решение вступает в силу со дня его официального обнародования.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Председатель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сельского поселения Красноармейского района            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Т.В.Дьяченко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Глава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            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В.В.Новак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ПРОЕКТ    ПРИЛОЖЕНИЕ    </w:t>
      </w:r>
      <w:r>
        <w:rPr>
          <w:rFonts w:ascii="Arial" w:hAnsi="Arial" w:cs="Arial"/>
          <w:color w:val="333333"/>
          <w:sz w:val="19"/>
          <w:szCs w:val="19"/>
        </w:rPr>
        <w:br/>
        <w:t>    УТВЕРЖДЕНО    </w:t>
      </w:r>
      <w:r>
        <w:rPr>
          <w:rFonts w:ascii="Arial" w:hAnsi="Arial" w:cs="Arial"/>
          <w:color w:val="333333"/>
          <w:sz w:val="19"/>
          <w:szCs w:val="19"/>
        </w:rPr>
        <w:br/>
        <w:t>    к решению Совета    </w:t>
      </w:r>
      <w:r>
        <w:rPr>
          <w:rFonts w:ascii="Arial" w:hAnsi="Arial" w:cs="Arial"/>
          <w:color w:val="333333"/>
          <w:sz w:val="19"/>
          <w:szCs w:val="19"/>
        </w:rPr>
        <w:br/>
        <w:t>    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  <w:t>    сельского поселения    </w:t>
      </w:r>
      <w:r>
        <w:rPr>
          <w:rFonts w:ascii="Arial" w:hAnsi="Arial" w:cs="Arial"/>
          <w:color w:val="333333"/>
          <w:sz w:val="19"/>
          <w:szCs w:val="19"/>
        </w:rPr>
        <w:br/>
        <w:t>    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  <w:t>    от_____________    № _____</w:t>
      </w:r>
      <w:r>
        <w:rPr>
          <w:rFonts w:ascii="Arial" w:hAnsi="Arial" w:cs="Arial"/>
          <w:color w:val="333333"/>
          <w:sz w:val="19"/>
          <w:szCs w:val="19"/>
        </w:rPr>
        <w:br/>
        <w:t>           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Отчета индикативного плана социально-экономического развития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Старонижестебли-евского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за 2015 год</w:t>
      </w:r>
      <w:r>
        <w:rPr>
          <w:rFonts w:ascii="Arial" w:hAnsi="Arial" w:cs="Arial"/>
          <w:color w:val="333333"/>
          <w:sz w:val="19"/>
          <w:szCs w:val="19"/>
        </w:rPr>
        <w:br/>
        <w:t>           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Показатель, единица измерения    2015 год    2015 год    %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выпол-нение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    прогноз    отчет    </w:t>
      </w:r>
      <w:r>
        <w:rPr>
          <w:rFonts w:ascii="Arial" w:hAnsi="Arial" w:cs="Arial"/>
          <w:color w:val="333333"/>
          <w:sz w:val="19"/>
          <w:szCs w:val="19"/>
        </w:rPr>
        <w:br/>
        <w:t>Среднегодовая численность постоянного населения – всего,  тыс. чел.    11,768    11,768    100</w:t>
      </w:r>
      <w:r>
        <w:rPr>
          <w:rFonts w:ascii="Arial" w:hAnsi="Arial" w:cs="Arial"/>
          <w:color w:val="333333"/>
          <w:sz w:val="19"/>
          <w:szCs w:val="19"/>
        </w:rPr>
        <w:br/>
        <w:t>Среднедушевой денежный доход на одного жителя, тыс. руб.    9,7    9,7    100</w:t>
      </w:r>
      <w:r>
        <w:rPr>
          <w:rFonts w:ascii="Arial" w:hAnsi="Arial" w:cs="Arial"/>
          <w:color w:val="333333"/>
          <w:sz w:val="19"/>
          <w:szCs w:val="19"/>
        </w:rPr>
        <w:br/>
        <w:t>Численность экономически активного населения, тыс. чел.    6,3    6,3    100</w:t>
      </w:r>
      <w:r>
        <w:rPr>
          <w:rFonts w:ascii="Arial" w:hAnsi="Arial" w:cs="Arial"/>
          <w:color w:val="333333"/>
          <w:sz w:val="19"/>
          <w:szCs w:val="19"/>
        </w:rPr>
        <w:br/>
        <w:t>Численность занятых в экономике, тыс. чел.    2,20    2,20    100</w:t>
      </w:r>
      <w:r>
        <w:rPr>
          <w:rFonts w:ascii="Arial" w:hAnsi="Arial" w:cs="Arial"/>
          <w:color w:val="333333"/>
          <w:sz w:val="19"/>
          <w:szCs w:val="19"/>
        </w:rPr>
        <w:br/>
        <w:t>Номинальная начисленная среднемесячная заработная плата, тыс. руб.    17,4    17,4    100</w:t>
      </w:r>
      <w:r>
        <w:rPr>
          <w:rFonts w:ascii="Arial" w:hAnsi="Arial" w:cs="Arial"/>
          <w:color w:val="333333"/>
          <w:sz w:val="19"/>
          <w:szCs w:val="19"/>
        </w:rPr>
        <w:br/>
        <w:t xml:space="preserve">Численность занятых в личных подсобных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хозяйствах,   </w:t>
      </w:r>
      <w:proofErr w:type="gramEnd"/>
      <w:r>
        <w:rPr>
          <w:rFonts w:ascii="Arial" w:hAnsi="Arial" w:cs="Arial"/>
          <w:color w:val="333333"/>
          <w:sz w:val="19"/>
          <w:szCs w:val="19"/>
        </w:rPr>
        <w:t>    тыс. чел.    4,4    4,4    100</w:t>
      </w:r>
      <w:r>
        <w:rPr>
          <w:rFonts w:ascii="Arial" w:hAnsi="Arial" w:cs="Arial"/>
          <w:color w:val="333333"/>
          <w:sz w:val="19"/>
          <w:szCs w:val="19"/>
        </w:rPr>
        <w:br/>
        <w:t xml:space="preserve">Среднемесячные доходы занятых в личных подсобных хозяйствах,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тыс.руб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    8,34    8,34    100</w:t>
      </w:r>
      <w:r>
        <w:rPr>
          <w:rFonts w:ascii="Arial" w:hAnsi="Arial" w:cs="Arial"/>
          <w:color w:val="333333"/>
          <w:sz w:val="19"/>
          <w:szCs w:val="19"/>
        </w:rPr>
        <w:br/>
        <w:t>Численность зарегистрированных безработных, чел.    49    49    100</w:t>
      </w:r>
      <w:r>
        <w:rPr>
          <w:rFonts w:ascii="Arial" w:hAnsi="Arial" w:cs="Arial"/>
          <w:color w:val="333333"/>
          <w:sz w:val="19"/>
          <w:szCs w:val="19"/>
        </w:rPr>
        <w:br/>
        <w:t>Уровень регистрируемой безработицы, в % к численности трудоспособного населения в трудоспособном возрасте    0,8    0,8    100</w:t>
      </w:r>
      <w:r>
        <w:rPr>
          <w:rFonts w:ascii="Arial" w:hAnsi="Arial" w:cs="Arial"/>
          <w:color w:val="333333"/>
          <w:sz w:val="19"/>
          <w:szCs w:val="19"/>
        </w:rPr>
        <w:br/>
        <w:t>Прибыль прибыльных предприятий, тыс. рублей    83461    106733    128</w:t>
      </w:r>
      <w:r>
        <w:rPr>
          <w:rFonts w:ascii="Arial" w:hAnsi="Arial" w:cs="Arial"/>
          <w:color w:val="333333"/>
          <w:sz w:val="19"/>
          <w:szCs w:val="19"/>
        </w:rPr>
        <w:br/>
        <w:t>Убыток предприятий, тыс. руб.    0    0   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Прибыль (убыток) –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сальдо,  тыс.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руб.    83461    106733    128</w:t>
      </w:r>
      <w:r>
        <w:rPr>
          <w:rFonts w:ascii="Arial" w:hAnsi="Arial" w:cs="Arial"/>
          <w:color w:val="333333"/>
          <w:sz w:val="19"/>
          <w:szCs w:val="19"/>
        </w:rPr>
        <w:br/>
        <w:t>Фонд оплаты труда, тыс. руб.    523364    418698    80</w:t>
      </w:r>
      <w:r>
        <w:rPr>
          <w:rFonts w:ascii="Arial" w:hAnsi="Arial" w:cs="Arial"/>
          <w:color w:val="333333"/>
          <w:sz w:val="19"/>
          <w:szCs w:val="19"/>
        </w:rPr>
        <w:br/>
        <w:t xml:space="preserve">Добыча полезных ископаемых (C), </w:t>
      </w:r>
      <w:proofErr w:type="spellStart"/>
      <w:proofErr w:type="gramStart"/>
      <w:r>
        <w:rPr>
          <w:rFonts w:ascii="Arial" w:hAnsi="Arial" w:cs="Arial"/>
          <w:color w:val="333333"/>
          <w:sz w:val="19"/>
          <w:szCs w:val="19"/>
        </w:rPr>
        <w:t>тыс.руб</w:t>
      </w:r>
      <w:proofErr w:type="spellEnd"/>
      <w:proofErr w:type="gramEnd"/>
      <w:r>
        <w:rPr>
          <w:rFonts w:ascii="Arial" w:hAnsi="Arial" w:cs="Arial"/>
          <w:color w:val="333333"/>
          <w:sz w:val="19"/>
          <w:szCs w:val="19"/>
        </w:rPr>
        <w:t>           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Обрабатывающие производства (D),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тыс.руб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  383700    300400    78</w:t>
      </w:r>
      <w:r>
        <w:rPr>
          <w:rFonts w:ascii="Arial" w:hAnsi="Arial" w:cs="Arial"/>
          <w:color w:val="333333"/>
          <w:sz w:val="19"/>
          <w:szCs w:val="19"/>
        </w:rPr>
        <w:br/>
        <w:t>Производство основных видов промышленной продукции в натуральном выражении    </w:t>
      </w:r>
      <w:r>
        <w:rPr>
          <w:rFonts w:ascii="Arial" w:hAnsi="Arial" w:cs="Arial"/>
          <w:color w:val="333333"/>
          <w:sz w:val="19"/>
          <w:szCs w:val="19"/>
        </w:rPr>
        <w:br/>
        <w:t>Колбасные изделия, тонн    8,7    7    80</w:t>
      </w:r>
      <w:r>
        <w:rPr>
          <w:rFonts w:ascii="Arial" w:hAnsi="Arial" w:cs="Arial"/>
          <w:color w:val="333333"/>
          <w:sz w:val="19"/>
          <w:szCs w:val="19"/>
        </w:rPr>
        <w:br/>
        <w:t xml:space="preserve">Хлеб и хлебобулочные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изделия,тонн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  867,8    763,9    88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Крупа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рис,тонн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    50300    51197    102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Кондитерские </w:t>
      </w:r>
      <w:proofErr w:type="spellStart"/>
      <w:proofErr w:type="gramStart"/>
      <w:r>
        <w:rPr>
          <w:rFonts w:ascii="Arial" w:hAnsi="Arial" w:cs="Arial"/>
          <w:color w:val="333333"/>
          <w:sz w:val="19"/>
          <w:szCs w:val="19"/>
        </w:rPr>
        <w:t>изделия,тонн</w:t>
      </w:r>
      <w:proofErr w:type="spellEnd"/>
      <w:proofErr w:type="gramEnd"/>
      <w:r>
        <w:rPr>
          <w:rFonts w:ascii="Arial" w:hAnsi="Arial" w:cs="Arial"/>
          <w:color w:val="333333"/>
          <w:sz w:val="19"/>
          <w:szCs w:val="19"/>
        </w:rPr>
        <w:t>.    6    1,3    22</w:t>
      </w:r>
      <w:r>
        <w:rPr>
          <w:rFonts w:ascii="Arial" w:hAnsi="Arial" w:cs="Arial"/>
          <w:color w:val="333333"/>
          <w:sz w:val="19"/>
          <w:szCs w:val="19"/>
        </w:rPr>
        <w:br/>
        <w:t>Объем продукции сельского хозяйства всех категорий хозяйств, тыс. руб.    975690    1280443    131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сельскохозяйственных организациях    730200    987032    135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крестьянских (фермерских) хозяйствах и у индивидуальных предпринимателей    88040    135152    154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личных подсобных хозяйствах    157450    158259    101</w:t>
      </w:r>
      <w:r>
        <w:rPr>
          <w:rFonts w:ascii="Arial" w:hAnsi="Arial" w:cs="Arial"/>
          <w:color w:val="333333"/>
          <w:sz w:val="19"/>
          <w:szCs w:val="19"/>
        </w:rPr>
        <w:br/>
        <w:t>Производство основных видов сельскохозяйственной продукции           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Зерно (в весе  после доработки),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тыс.тонн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  65,6    68,9    105</w:t>
      </w:r>
      <w:r>
        <w:rPr>
          <w:rFonts w:ascii="Arial" w:hAnsi="Arial" w:cs="Arial"/>
          <w:color w:val="333333"/>
          <w:sz w:val="19"/>
          <w:szCs w:val="19"/>
        </w:rPr>
        <w:br/>
        <w:t>Рис, тыс. тонн    39    44    113</w:t>
      </w:r>
      <w:r>
        <w:rPr>
          <w:rFonts w:ascii="Arial" w:hAnsi="Arial" w:cs="Arial"/>
          <w:color w:val="333333"/>
          <w:sz w:val="19"/>
          <w:szCs w:val="19"/>
        </w:rPr>
        <w:br/>
        <w:t>Соя, тыс. тонн    3,1    3    97</w:t>
      </w:r>
      <w:r>
        <w:rPr>
          <w:rFonts w:ascii="Arial" w:hAnsi="Arial" w:cs="Arial"/>
          <w:color w:val="333333"/>
          <w:sz w:val="19"/>
          <w:szCs w:val="19"/>
        </w:rPr>
        <w:br/>
        <w:t xml:space="preserve">Масличные,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тыс.тонн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  4,3    4,6    107</w:t>
      </w:r>
      <w:r>
        <w:rPr>
          <w:rFonts w:ascii="Arial" w:hAnsi="Arial" w:cs="Arial"/>
          <w:color w:val="333333"/>
          <w:sz w:val="19"/>
          <w:szCs w:val="19"/>
        </w:rPr>
        <w:br/>
        <w:t>Подсолнечник (в весе после доработки), тыс. тонн    1,3    1    77</w:t>
      </w:r>
      <w:r>
        <w:rPr>
          <w:rFonts w:ascii="Arial" w:hAnsi="Arial" w:cs="Arial"/>
          <w:color w:val="333333"/>
          <w:sz w:val="19"/>
          <w:szCs w:val="19"/>
        </w:rPr>
        <w:br/>
        <w:t>Картофель - всего, тыс. тонн    3,2    3,2    100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сельскохозяйственных организациях            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крестьянских (фермерских) хозяйствах и у индивидуальных предпринимателей    2    0,4    20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личных подсобных хозяйствах    3    2,8    93</w:t>
      </w:r>
      <w:r>
        <w:rPr>
          <w:rFonts w:ascii="Arial" w:hAnsi="Arial" w:cs="Arial"/>
          <w:color w:val="333333"/>
          <w:sz w:val="19"/>
          <w:szCs w:val="19"/>
        </w:rPr>
        <w:br/>
        <w:t>Овощи - всего, тыс. тонн    2,29    3,7    162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сельскохозяйственных организациях    0,9    2    222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крестьянских (фермерских) хозяйствах и у индивидуальных предпринимателей    0,09    0,1    111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личных подсобных хозяйствах    1,3    1,6    123</w:t>
      </w:r>
      <w:r>
        <w:rPr>
          <w:rFonts w:ascii="Arial" w:hAnsi="Arial" w:cs="Arial"/>
          <w:color w:val="333333"/>
          <w:sz w:val="19"/>
          <w:szCs w:val="19"/>
        </w:rPr>
        <w:br/>
        <w:t>Плоды и ягоды - всего, тыс. тонн    0,5    0,2    40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сельскохозяйственных организациях    0,3    0    0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крестьянских (фермерских) хозяйствах и у индивидуальных предпринимателей    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личных подсобных хозяйствах    0,2    0,2    100</w:t>
      </w:r>
      <w:r>
        <w:rPr>
          <w:rFonts w:ascii="Arial" w:hAnsi="Arial" w:cs="Arial"/>
          <w:color w:val="333333"/>
          <w:sz w:val="19"/>
          <w:szCs w:val="19"/>
        </w:rPr>
        <w:br/>
        <w:t>Виноград - всего, тыс. тонн    0,01    0,015    150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сельскохозяйственных организациях            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крестьянских (фермерских) хозяйствах и у индивидуальных предпринимателей    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личных подсобных хозяйствах    0,01    0,015    150</w:t>
      </w:r>
      <w:r>
        <w:rPr>
          <w:rFonts w:ascii="Arial" w:hAnsi="Arial" w:cs="Arial"/>
          <w:color w:val="333333"/>
          <w:sz w:val="19"/>
          <w:szCs w:val="19"/>
        </w:rPr>
        <w:br/>
        <w:t>Скот и птица (в живом весе)- всего, тыс. тонн     0,59    0,85    144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сельскохозяйственных организациях    0    0,4    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крестьянских (фермерских) хозяйствах и у индивидуальных предпринимателей    0,09    0,1    111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личных подсобных хозяйствах    0,5    0,35    70</w:t>
      </w:r>
      <w:r>
        <w:rPr>
          <w:rFonts w:ascii="Arial" w:hAnsi="Arial" w:cs="Arial"/>
          <w:color w:val="333333"/>
          <w:sz w:val="19"/>
          <w:szCs w:val="19"/>
        </w:rPr>
        <w:br/>
        <w:t>Молоко- всего, тыс. тонн    2,8    3,5    125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сельскохозяйственных организациях            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крестьянских (фермерских) хозяйствах и у индивидуальных предпринимателей    1,3    2,3    177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личных подсобных хозяйствах    1,5    1,2    80</w:t>
      </w:r>
      <w:r>
        <w:rPr>
          <w:rFonts w:ascii="Arial" w:hAnsi="Arial" w:cs="Arial"/>
          <w:color w:val="333333"/>
          <w:sz w:val="19"/>
          <w:szCs w:val="19"/>
        </w:rPr>
        <w:br/>
        <w:t>Яйца- всего, тыс. штук    1,8    1,5    83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сельскохозяйственных организациях            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крестьянских (фермерских) хозяйствах и у индивидуальных предпринимателей    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личных подсобных хозяйствах    1,8    1,5    83</w:t>
      </w:r>
      <w:r>
        <w:rPr>
          <w:rFonts w:ascii="Arial" w:hAnsi="Arial" w:cs="Arial"/>
          <w:color w:val="333333"/>
          <w:sz w:val="19"/>
          <w:szCs w:val="19"/>
        </w:rPr>
        <w:br/>
        <w:t>Улов рыбы в прудовых и других рыбоводных хозяйствах, тыс. тонн    0,216    0,096    44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сельскохозяйственных организациях    0,182    0,062    34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крестьянских (фермерских) хозяйствах и у индивидуальных предпринимателей    0,034    0,034    100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личных подсобных хозяйствах            </w:t>
      </w:r>
      <w:r>
        <w:rPr>
          <w:rFonts w:ascii="Arial" w:hAnsi="Arial" w:cs="Arial"/>
          <w:color w:val="333333"/>
          <w:sz w:val="19"/>
          <w:szCs w:val="19"/>
        </w:rPr>
        <w:br/>
        <w:t>Численность поголовья сельскохозяйственных животных              </w:t>
      </w:r>
      <w:r>
        <w:rPr>
          <w:rFonts w:ascii="Arial" w:hAnsi="Arial" w:cs="Arial"/>
          <w:color w:val="333333"/>
          <w:sz w:val="19"/>
          <w:szCs w:val="19"/>
        </w:rPr>
        <w:br/>
        <w:t>Крупный рогатый скот, голов    1595    1561    98</w:t>
      </w:r>
      <w:r>
        <w:rPr>
          <w:rFonts w:ascii="Arial" w:hAnsi="Arial" w:cs="Arial"/>
          <w:color w:val="333333"/>
          <w:sz w:val="19"/>
          <w:szCs w:val="19"/>
        </w:rPr>
        <w:br/>
        <w:t>в том числе сельскохозяйственных организаций        497    </w:t>
      </w:r>
      <w:r>
        <w:rPr>
          <w:rFonts w:ascii="Arial" w:hAnsi="Arial" w:cs="Arial"/>
          <w:color w:val="333333"/>
          <w:sz w:val="19"/>
          <w:szCs w:val="19"/>
        </w:rPr>
        <w:br/>
        <w:t>в том числе крестьянских (фермерских) хозяйств и хозяйств индивидуальных предпринимателей    1280    830    65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личных подсобных хозяйствах    315    234    74</w:t>
      </w:r>
      <w:r>
        <w:rPr>
          <w:rFonts w:ascii="Arial" w:hAnsi="Arial" w:cs="Arial"/>
          <w:color w:val="333333"/>
          <w:sz w:val="19"/>
          <w:szCs w:val="19"/>
        </w:rPr>
        <w:br/>
        <w:t>из общего поголовья крупного рогатого скота — коровы, голов    530    687    130</w:t>
      </w:r>
      <w:r>
        <w:rPr>
          <w:rFonts w:ascii="Arial" w:hAnsi="Arial" w:cs="Arial"/>
          <w:color w:val="333333"/>
          <w:sz w:val="19"/>
          <w:szCs w:val="19"/>
        </w:rPr>
        <w:br/>
        <w:t>в том числе сельскохозяйственных организаций        53    </w:t>
      </w:r>
      <w:r>
        <w:rPr>
          <w:rFonts w:ascii="Arial" w:hAnsi="Arial" w:cs="Arial"/>
          <w:color w:val="333333"/>
          <w:sz w:val="19"/>
          <w:szCs w:val="19"/>
        </w:rPr>
        <w:br/>
        <w:t>в том числе крестьянских (фермерских) хозяйств и хозяйств индивидуальных предпринимателей    350    435    124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личных подсобных хозяйствах    180    190    106</w:t>
      </w:r>
      <w:r>
        <w:rPr>
          <w:rFonts w:ascii="Arial" w:hAnsi="Arial" w:cs="Arial"/>
          <w:color w:val="333333"/>
          <w:sz w:val="19"/>
          <w:szCs w:val="19"/>
        </w:rPr>
        <w:br/>
        <w:t>Свиньи, голов     0    0    </w:t>
      </w:r>
      <w:r>
        <w:rPr>
          <w:rFonts w:ascii="Arial" w:hAnsi="Arial" w:cs="Arial"/>
          <w:color w:val="333333"/>
          <w:sz w:val="19"/>
          <w:szCs w:val="19"/>
        </w:rPr>
        <w:br/>
        <w:t>в том числе сельскохозяйственных организаций    0    0    </w:t>
      </w:r>
      <w:r>
        <w:rPr>
          <w:rFonts w:ascii="Arial" w:hAnsi="Arial" w:cs="Arial"/>
          <w:color w:val="333333"/>
          <w:sz w:val="19"/>
          <w:szCs w:val="19"/>
        </w:rPr>
        <w:br/>
        <w:t>в том числе крестьянских (фермерских) хозяйств и хозяйств индивидуальных предпринимателей    0    0    </w:t>
      </w:r>
      <w:r>
        <w:rPr>
          <w:rFonts w:ascii="Arial" w:hAnsi="Arial" w:cs="Arial"/>
          <w:color w:val="333333"/>
          <w:sz w:val="19"/>
          <w:szCs w:val="19"/>
        </w:rPr>
        <w:br/>
        <w:t>в том числе в личных подсобных хозяйствах    0    0    </w:t>
      </w:r>
      <w:r>
        <w:rPr>
          <w:rFonts w:ascii="Arial" w:hAnsi="Arial" w:cs="Arial"/>
          <w:color w:val="333333"/>
          <w:sz w:val="19"/>
          <w:szCs w:val="19"/>
        </w:rPr>
        <w:br/>
        <w:t>Овцы и козы, голов    205    291    142</w:t>
      </w:r>
      <w:r>
        <w:rPr>
          <w:rFonts w:ascii="Arial" w:hAnsi="Arial" w:cs="Arial"/>
          <w:color w:val="333333"/>
          <w:sz w:val="19"/>
          <w:szCs w:val="19"/>
        </w:rPr>
        <w:br/>
        <w:t>Птица, тысяч голов    25,6    14,2    55</w:t>
      </w:r>
      <w:r>
        <w:rPr>
          <w:rFonts w:ascii="Arial" w:hAnsi="Arial" w:cs="Arial"/>
          <w:color w:val="333333"/>
          <w:sz w:val="19"/>
          <w:szCs w:val="19"/>
        </w:rPr>
        <w:br/>
        <w:t>            </w:t>
      </w:r>
      <w:r>
        <w:rPr>
          <w:rFonts w:ascii="Arial" w:hAnsi="Arial" w:cs="Arial"/>
          <w:color w:val="333333"/>
          <w:sz w:val="19"/>
          <w:szCs w:val="19"/>
        </w:rPr>
        <w:br/>
        <w:t>Оборот розничной торговли,  тыс. руб.    666051    184151    28</w:t>
      </w:r>
      <w:r>
        <w:rPr>
          <w:rFonts w:ascii="Arial" w:hAnsi="Arial" w:cs="Arial"/>
          <w:color w:val="333333"/>
          <w:sz w:val="19"/>
          <w:szCs w:val="19"/>
        </w:rPr>
        <w:br/>
        <w:t>Оборот общественного питания, тыс. руб.    25104    22153    88</w:t>
      </w:r>
      <w:r>
        <w:rPr>
          <w:rFonts w:ascii="Arial" w:hAnsi="Arial" w:cs="Arial"/>
          <w:color w:val="333333"/>
          <w:sz w:val="19"/>
          <w:szCs w:val="19"/>
        </w:rPr>
        <w:br/>
        <w:t>Объем платных услуг населению, тыс. руб.    290894    255716    88</w:t>
      </w:r>
      <w:r>
        <w:rPr>
          <w:rFonts w:ascii="Arial" w:hAnsi="Arial" w:cs="Arial"/>
          <w:color w:val="333333"/>
          <w:sz w:val="19"/>
          <w:szCs w:val="19"/>
        </w:rPr>
        <w:br/>
        <w:t>Объем инвестиций в основной капитал за счет всех источников финансирования, тыс. руб.    75000    95400    127</w:t>
      </w:r>
      <w:r>
        <w:rPr>
          <w:rFonts w:ascii="Arial" w:hAnsi="Arial" w:cs="Arial"/>
          <w:color w:val="333333"/>
          <w:sz w:val="19"/>
          <w:szCs w:val="19"/>
        </w:rPr>
        <w:br/>
        <w:t>Социальная сфера           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Численность детей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в  дошкольных</w:t>
      </w:r>
      <w:proofErr w:type="gramEnd"/>
      <w:r>
        <w:rPr>
          <w:rFonts w:ascii="Arial" w:hAnsi="Arial" w:cs="Arial"/>
          <w:color w:val="333333"/>
          <w:sz w:val="19"/>
          <w:szCs w:val="19"/>
        </w:rPr>
        <w:t>  образовательных учреждениях, тыс. чел.    0,38    0,35    92</w:t>
      </w:r>
      <w:r>
        <w:rPr>
          <w:rFonts w:ascii="Arial" w:hAnsi="Arial" w:cs="Arial"/>
          <w:color w:val="333333"/>
          <w:sz w:val="19"/>
          <w:szCs w:val="19"/>
        </w:rPr>
        <w:br/>
        <w:t xml:space="preserve">Численность учащихся в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 xml:space="preserve">учреждениях:   </w:t>
      </w:r>
      <w:proofErr w:type="gramEnd"/>
      <w:r>
        <w:rPr>
          <w:rFonts w:ascii="Arial" w:hAnsi="Arial" w:cs="Arial"/>
          <w:color w:val="333333"/>
          <w:sz w:val="19"/>
          <w:szCs w:val="19"/>
        </w:rPr>
        <w:t>         </w:t>
      </w:r>
      <w:r>
        <w:rPr>
          <w:rFonts w:ascii="Arial" w:hAnsi="Arial" w:cs="Arial"/>
          <w:color w:val="333333"/>
          <w:sz w:val="19"/>
          <w:szCs w:val="19"/>
        </w:rPr>
        <w:br/>
        <w:t>общеобразовательных, тыс. чел.    1,275    1,263    99</w:t>
      </w:r>
      <w:r>
        <w:rPr>
          <w:rFonts w:ascii="Arial" w:hAnsi="Arial" w:cs="Arial"/>
          <w:color w:val="333333"/>
          <w:sz w:val="19"/>
          <w:szCs w:val="19"/>
        </w:rPr>
        <w:br/>
        <w:t>Численность обучающихся в первую смену в дневных учреждениях общего образования в % к общему числу обучающихся в этих учреждениях    99    99    100</w:t>
      </w:r>
      <w:r>
        <w:rPr>
          <w:rFonts w:ascii="Arial" w:hAnsi="Arial" w:cs="Arial"/>
          <w:color w:val="333333"/>
          <w:sz w:val="19"/>
          <w:szCs w:val="19"/>
        </w:rPr>
        <w:br/>
        <w:t>Ввод в эксплуатацию:            </w:t>
      </w:r>
      <w:r>
        <w:rPr>
          <w:rFonts w:ascii="Arial" w:hAnsi="Arial" w:cs="Arial"/>
          <w:color w:val="333333"/>
          <w:sz w:val="19"/>
          <w:szCs w:val="19"/>
        </w:rPr>
        <w:br/>
        <w:t>жилых домов предприятиями всех форм собственности, тыс. кв. м общей площади    4,5    4,3    96</w:t>
      </w:r>
      <w:r>
        <w:rPr>
          <w:rFonts w:ascii="Arial" w:hAnsi="Arial" w:cs="Arial"/>
          <w:color w:val="333333"/>
          <w:sz w:val="19"/>
          <w:szCs w:val="19"/>
        </w:rPr>
        <w:br/>
        <w:t>из общего итога - построенные населением за свой счет и с помощью кредитов, тыс. кв. м общей площади    3,7    3,7    100</w:t>
      </w:r>
      <w:r>
        <w:rPr>
          <w:rFonts w:ascii="Arial" w:hAnsi="Arial" w:cs="Arial"/>
          <w:color w:val="333333"/>
          <w:sz w:val="19"/>
          <w:szCs w:val="19"/>
        </w:rPr>
        <w:br/>
        <w:t>Средняя обеспеченность населения площадью жилых квартир (на конец года), кв. м. на чел.    19,8    19,8    100</w:t>
      </w:r>
      <w:r>
        <w:rPr>
          <w:rFonts w:ascii="Arial" w:hAnsi="Arial" w:cs="Arial"/>
          <w:color w:val="333333"/>
          <w:sz w:val="19"/>
          <w:szCs w:val="19"/>
        </w:rPr>
        <w:br/>
        <w:t>Обеспеченность населения учреждениями социально-культурной сферы:        </w:t>
      </w:r>
      <w:r>
        <w:rPr>
          <w:rFonts w:ascii="Arial" w:hAnsi="Arial" w:cs="Arial"/>
          <w:color w:val="333333"/>
          <w:sz w:val="19"/>
          <w:szCs w:val="19"/>
        </w:rPr>
        <w:br/>
        <w:t>больничными койками, коек на 1 тыс. жителей    4,2    4,2    100</w:t>
      </w:r>
      <w:r>
        <w:rPr>
          <w:rFonts w:ascii="Arial" w:hAnsi="Arial" w:cs="Arial"/>
          <w:color w:val="333333"/>
          <w:sz w:val="19"/>
          <w:szCs w:val="19"/>
        </w:rPr>
        <w:br/>
        <w:t>амбулаторно-поликлиническими учреждениями, посещений в смену на 1 тыс. населения     3,4    3,4    100</w:t>
      </w:r>
      <w:r>
        <w:rPr>
          <w:rFonts w:ascii="Arial" w:hAnsi="Arial" w:cs="Arial"/>
          <w:color w:val="333333"/>
          <w:sz w:val="19"/>
          <w:szCs w:val="19"/>
        </w:rPr>
        <w:br/>
        <w:t>врачами, чел. на 1 тыс. населения    1,1    1,1    100</w:t>
      </w:r>
      <w:r>
        <w:rPr>
          <w:rFonts w:ascii="Arial" w:hAnsi="Arial" w:cs="Arial"/>
          <w:color w:val="333333"/>
          <w:sz w:val="19"/>
          <w:szCs w:val="19"/>
        </w:rPr>
        <w:br/>
        <w:t>средним медицинским персоналом, чел. на 1 тыс. населения    3,3    3,3    100</w:t>
      </w:r>
      <w:r>
        <w:rPr>
          <w:rFonts w:ascii="Arial" w:hAnsi="Arial" w:cs="Arial"/>
          <w:color w:val="333333"/>
          <w:sz w:val="19"/>
          <w:szCs w:val="19"/>
        </w:rPr>
        <w:br/>
        <w:t>стационарными учреждениями социального обслуживания престарелых и инвалидов, мест на 1 тыс. населения    4,3    4,3    100</w:t>
      </w:r>
      <w:r>
        <w:rPr>
          <w:rFonts w:ascii="Arial" w:hAnsi="Arial" w:cs="Arial"/>
          <w:color w:val="333333"/>
          <w:sz w:val="19"/>
          <w:szCs w:val="19"/>
        </w:rPr>
        <w:br/>
        <w:t>спортивными сооружениям, кв. м. на 1 тыс. населения    210,8    210,8    100</w:t>
      </w:r>
      <w:r>
        <w:rPr>
          <w:rFonts w:ascii="Arial" w:hAnsi="Arial" w:cs="Arial"/>
          <w:color w:val="333333"/>
          <w:sz w:val="19"/>
          <w:szCs w:val="19"/>
        </w:rPr>
        <w:br/>
        <w:t>дошкольными образовательными учреждениями, мест на 1000 детей дошкольного возраста    411    410    100</w:t>
      </w:r>
      <w:r>
        <w:rPr>
          <w:rFonts w:ascii="Arial" w:hAnsi="Arial" w:cs="Arial"/>
          <w:color w:val="333333"/>
          <w:sz w:val="19"/>
          <w:szCs w:val="19"/>
        </w:rPr>
        <w:br/>
        <w:t>Количество мест в учреждениях дошкольного образования, мест    380    360    95</w:t>
      </w:r>
      <w:r>
        <w:rPr>
          <w:rFonts w:ascii="Arial" w:hAnsi="Arial" w:cs="Arial"/>
          <w:color w:val="333333"/>
          <w:sz w:val="19"/>
          <w:szCs w:val="19"/>
        </w:rPr>
        <w:br/>
        <w:t>Количество детей дошкольного возраста, находящихся в очереди в учреждения дошкольного образования, чел.    110    98    89</w:t>
      </w:r>
      <w:r>
        <w:rPr>
          <w:rFonts w:ascii="Arial" w:hAnsi="Arial" w:cs="Arial"/>
          <w:color w:val="333333"/>
          <w:sz w:val="19"/>
          <w:szCs w:val="19"/>
        </w:rPr>
        <w:br/>
        <w:t>Количество больничных коек, единиц    50    50    100</w:t>
      </w:r>
      <w:r>
        <w:rPr>
          <w:rFonts w:ascii="Arial" w:hAnsi="Arial" w:cs="Arial"/>
          <w:color w:val="333333"/>
          <w:sz w:val="19"/>
          <w:szCs w:val="19"/>
        </w:rPr>
        <w:br/>
        <w:t>Удельный вес населения, занимающегося спортом, %    45    45    100</w:t>
      </w:r>
      <w:r>
        <w:rPr>
          <w:rFonts w:ascii="Arial" w:hAnsi="Arial" w:cs="Arial"/>
          <w:color w:val="333333"/>
          <w:sz w:val="19"/>
          <w:szCs w:val="19"/>
        </w:rPr>
        <w:br/>
        <w:t>Количество организаций, зарегистрированных на территории сельского поселения, единиц    </w:t>
      </w:r>
      <w:r>
        <w:rPr>
          <w:rFonts w:ascii="Arial" w:hAnsi="Arial" w:cs="Arial"/>
          <w:color w:val="333333"/>
          <w:sz w:val="19"/>
          <w:szCs w:val="19"/>
        </w:rPr>
        <w:br/>
        <w:t>в том числе количество организаций муниципальной формы собственности    13    13    100</w:t>
      </w:r>
      <w:r>
        <w:rPr>
          <w:rFonts w:ascii="Arial" w:hAnsi="Arial" w:cs="Arial"/>
          <w:color w:val="333333"/>
          <w:sz w:val="19"/>
          <w:szCs w:val="19"/>
        </w:rPr>
        <w:br/>
        <w:t>в том числе количество организаций частной формы собственности    27    27    100</w:t>
      </w:r>
      <w:r>
        <w:rPr>
          <w:rFonts w:ascii="Arial" w:hAnsi="Arial" w:cs="Arial"/>
          <w:color w:val="333333"/>
          <w:sz w:val="19"/>
          <w:szCs w:val="19"/>
        </w:rPr>
        <w:br/>
        <w:t>Количество индивидуальных предпринимателей, единиц    255    250    98</w:t>
      </w:r>
      <w:r>
        <w:rPr>
          <w:rFonts w:ascii="Arial" w:hAnsi="Arial" w:cs="Arial"/>
          <w:color w:val="333333"/>
          <w:sz w:val="19"/>
          <w:szCs w:val="19"/>
        </w:rPr>
        <w:br/>
        <w:t>Малый бизнес            </w:t>
      </w:r>
      <w:r>
        <w:rPr>
          <w:rFonts w:ascii="Arial" w:hAnsi="Arial" w:cs="Arial"/>
          <w:color w:val="333333"/>
          <w:sz w:val="19"/>
          <w:szCs w:val="19"/>
        </w:rPr>
        <w:br/>
        <w:t>Количество субъектов малого предпринимательства, единиц    437,0    455,0    104</w:t>
      </w:r>
      <w:r>
        <w:rPr>
          <w:rFonts w:ascii="Arial" w:hAnsi="Arial" w:cs="Arial"/>
          <w:color w:val="333333"/>
          <w:sz w:val="19"/>
          <w:szCs w:val="19"/>
        </w:rPr>
        <w:br/>
        <w:t> численность работников малого предпринимательства единиц    316,0    297,0    94</w:t>
      </w:r>
      <w:r>
        <w:rPr>
          <w:rFonts w:ascii="Arial" w:hAnsi="Arial" w:cs="Arial"/>
          <w:color w:val="333333"/>
          <w:sz w:val="19"/>
          <w:szCs w:val="19"/>
        </w:rPr>
        <w:br/>
        <w:t>Инфраструктурная обеспеченность населения            </w:t>
      </w:r>
      <w:r>
        <w:rPr>
          <w:rFonts w:ascii="Arial" w:hAnsi="Arial" w:cs="Arial"/>
          <w:color w:val="333333"/>
          <w:sz w:val="19"/>
          <w:szCs w:val="19"/>
        </w:rPr>
        <w:br/>
        <w:t>Протяженность освещенных улиц, км.    38,4    38,1    99</w:t>
      </w:r>
      <w:r>
        <w:rPr>
          <w:rFonts w:ascii="Arial" w:hAnsi="Arial" w:cs="Arial"/>
          <w:color w:val="333333"/>
          <w:sz w:val="19"/>
          <w:szCs w:val="19"/>
        </w:rPr>
        <w:br/>
        <w:t>Протяженность водопроводных сетей, км.    105,4    105,4    100</w:t>
      </w:r>
      <w:r>
        <w:rPr>
          <w:rFonts w:ascii="Arial" w:hAnsi="Arial" w:cs="Arial"/>
          <w:color w:val="333333"/>
          <w:sz w:val="19"/>
          <w:szCs w:val="19"/>
        </w:rPr>
        <w:br/>
        <w:t>Протяженность автомобильных дорог местного значения, км.    107,6    107,6    100</w:t>
      </w:r>
      <w:r>
        <w:rPr>
          <w:rFonts w:ascii="Arial" w:hAnsi="Arial" w:cs="Arial"/>
          <w:color w:val="333333"/>
          <w:sz w:val="19"/>
          <w:szCs w:val="19"/>
        </w:rPr>
        <w:br/>
        <w:t xml:space="preserve">в том числе с твердым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порытием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  35    35    100</w:t>
      </w:r>
      <w:r>
        <w:rPr>
          <w:rFonts w:ascii="Arial" w:hAnsi="Arial" w:cs="Arial"/>
          <w:color w:val="333333"/>
          <w:sz w:val="19"/>
          <w:szCs w:val="19"/>
        </w:rPr>
        <w:br/>
        <w:t>Удельный вес газифицированных квартир (домовладений) от общего количества квартир (домовладений), %    78    78    100</w:t>
      </w:r>
      <w:r>
        <w:rPr>
          <w:rFonts w:ascii="Arial" w:hAnsi="Arial" w:cs="Arial"/>
          <w:color w:val="333333"/>
          <w:sz w:val="19"/>
          <w:szCs w:val="19"/>
        </w:rPr>
        <w:br/>
        <w:t>Обеспеченность населения объектами розничной торговли, кв. м. на 1 тыс. населения    324,0    322,7    100</w:t>
      </w:r>
      <w:r>
        <w:rPr>
          <w:rFonts w:ascii="Arial" w:hAnsi="Arial" w:cs="Arial"/>
          <w:color w:val="333333"/>
          <w:sz w:val="19"/>
          <w:szCs w:val="19"/>
        </w:rPr>
        <w:br/>
        <w:t>Обеспеченность населения объектами общественного питания, кв. м. на 1 тыс. населения    29,74    29,74    100</w:t>
      </w:r>
      <w:r>
        <w:rPr>
          <w:rFonts w:ascii="Arial" w:hAnsi="Arial" w:cs="Arial"/>
          <w:color w:val="333333"/>
          <w:sz w:val="19"/>
          <w:szCs w:val="19"/>
        </w:rPr>
        <w:br/>
        <w:t>Благоустройство            </w:t>
      </w:r>
      <w:r>
        <w:rPr>
          <w:rFonts w:ascii="Arial" w:hAnsi="Arial" w:cs="Arial"/>
          <w:color w:val="333333"/>
          <w:sz w:val="19"/>
          <w:szCs w:val="19"/>
        </w:rPr>
        <w:br/>
        <w:t>Протяженность отремонтированных автомобильных дорог местного значения с твердым покрытием, км.    1,9    2,74    144</w:t>
      </w:r>
      <w:r>
        <w:rPr>
          <w:rFonts w:ascii="Arial" w:hAnsi="Arial" w:cs="Arial"/>
          <w:color w:val="333333"/>
          <w:sz w:val="19"/>
          <w:szCs w:val="19"/>
        </w:rPr>
        <w:br/>
        <w:t>Протяженность отремонтированных тротуаров, км.    0,9    0,7    78</w:t>
      </w:r>
      <w:r>
        <w:rPr>
          <w:rFonts w:ascii="Arial" w:hAnsi="Arial" w:cs="Arial"/>
          <w:color w:val="333333"/>
          <w:sz w:val="19"/>
          <w:szCs w:val="19"/>
        </w:rPr>
        <w:br/>
        <w:t>Количество высаженных зеленых насаждений, шт.    250    250    100</w:t>
      </w:r>
      <w:r>
        <w:rPr>
          <w:rFonts w:ascii="Arial" w:hAnsi="Arial" w:cs="Arial"/>
          <w:color w:val="333333"/>
          <w:sz w:val="19"/>
          <w:szCs w:val="19"/>
        </w:rPr>
        <w:br/>
        <w:t>Количество установленных светильников наружного освещения, шт.    30    30    100</w:t>
      </w:r>
      <w:r>
        <w:rPr>
          <w:rFonts w:ascii="Arial" w:hAnsi="Arial" w:cs="Arial"/>
          <w:color w:val="333333"/>
          <w:sz w:val="19"/>
          <w:szCs w:val="19"/>
        </w:rPr>
        <w:br/>
        <w:t>            </w:t>
      </w:r>
      <w:r>
        <w:rPr>
          <w:rFonts w:ascii="Arial" w:hAnsi="Arial" w:cs="Arial"/>
          <w:color w:val="333333"/>
          <w:sz w:val="19"/>
          <w:szCs w:val="19"/>
        </w:rPr>
        <w:br/>
        <w:t>Глава            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            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            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В.В.Новак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 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                     ПРИЛОЖЕНИЕ 3</w:t>
      </w:r>
      <w:r>
        <w:rPr>
          <w:rFonts w:ascii="Arial" w:hAnsi="Arial" w:cs="Arial"/>
          <w:color w:val="333333"/>
          <w:sz w:val="19"/>
          <w:szCs w:val="19"/>
        </w:rPr>
        <w:br/>
        <w:t>                                       УТВЕРЖДЕН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 решением Совета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          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 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                     от ___________№ _____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ПОРЯДОК</w:t>
      </w:r>
      <w:r>
        <w:rPr>
          <w:rFonts w:ascii="Arial" w:hAnsi="Arial" w:cs="Arial"/>
          <w:color w:val="333333"/>
          <w:sz w:val="19"/>
          <w:szCs w:val="19"/>
        </w:rPr>
        <w:br/>
        <w:t>учета предложений и участия граждан в обсуждении</w:t>
      </w:r>
      <w:r>
        <w:rPr>
          <w:rFonts w:ascii="Arial" w:hAnsi="Arial" w:cs="Arial"/>
          <w:color w:val="333333"/>
          <w:sz w:val="19"/>
          <w:szCs w:val="19"/>
        </w:rPr>
        <w:br/>
        <w:t>отчета индикативного плана социально-экономического развития Ста-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</w:t>
      </w:r>
      <w:r>
        <w:rPr>
          <w:rFonts w:ascii="Arial" w:hAnsi="Arial" w:cs="Arial"/>
          <w:color w:val="333333"/>
          <w:sz w:val="19"/>
          <w:szCs w:val="19"/>
        </w:rPr>
        <w:br/>
        <w:t>за 2014 год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1. Население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Красноар-мейского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 с момента обнародования отчета об исполнении индикативного плана социально-экономического развития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за 2015 год вправе участвовать в его обсуждении в следующих формах:</w:t>
      </w:r>
      <w:r>
        <w:rPr>
          <w:rFonts w:ascii="Arial" w:hAnsi="Arial" w:cs="Arial"/>
          <w:color w:val="333333"/>
          <w:sz w:val="19"/>
          <w:szCs w:val="19"/>
        </w:rPr>
        <w:br/>
        <w:t>1) проведения собраний граждан по месту жительства;</w:t>
      </w:r>
      <w:r>
        <w:rPr>
          <w:rFonts w:ascii="Arial" w:hAnsi="Arial" w:cs="Arial"/>
          <w:color w:val="333333"/>
          <w:sz w:val="19"/>
          <w:szCs w:val="19"/>
        </w:rPr>
        <w:br/>
        <w:t xml:space="preserve">2) массового обсуждения обнародования отчета об исполнении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индика-тивного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плана социально-экономического развития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за 2015 год и в порядке, предусмотренном настоящим Порядком;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  3) проведения публичных слушаний по отчету об исполнении индикативного плана социально-экономического развития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за 2015 год</w:t>
      </w:r>
      <w:r>
        <w:rPr>
          <w:rFonts w:ascii="Arial" w:hAnsi="Arial" w:cs="Arial"/>
          <w:color w:val="333333"/>
          <w:sz w:val="19"/>
          <w:szCs w:val="19"/>
        </w:rPr>
        <w:br/>
        <w:t>    4) в иных формах, не противоречащих действующему законодательству.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  2. Предложения о дополнениях и (или) изменениях по обнародованному  отчету об исполнении индикативного плана социально-экономического развития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за 2015 год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данному вопросу (далее – рабочая группа).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  3. Предложения населения к обнародованному отчету об исполнении индикативного плана социально-экономического развития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за 2015 год могут вноситься в течение 10 дней со дня его обнародования в рабочую группу и рассматриваются ею в соответствии с настоящим Порядком.</w:t>
      </w:r>
      <w:r>
        <w:rPr>
          <w:rFonts w:ascii="Arial" w:hAnsi="Arial" w:cs="Arial"/>
          <w:color w:val="333333"/>
          <w:sz w:val="19"/>
          <w:szCs w:val="19"/>
        </w:rPr>
        <w:br/>
        <w:t>    4. Внесенные предложения регистрируются рабочей группой.</w:t>
      </w:r>
      <w:r>
        <w:rPr>
          <w:rFonts w:ascii="Arial" w:hAnsi="Arial" w:cs="Arial"/>
          <w:color w:val="333333"/>
          <w:sz w:val="19"/>
          <w:szCs w:val="19"/>
        </w:rPr>
        <w:br/>
        <w:t>    5. Предложения должны соответствовать Конституции РФ, требованиям Федерального закона от 6 октября 2003 года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  <w:r>
        <w:rPr>
          <w:rFonts w:ascii="Arial" w:hAnsi="Arial" w:cs="Arial"/>
          <w:color w:val="333333"/>
          <w:sz w:val="19"/>
          <w:szCs w:val="19"/>
        </w:rPr>
        <w:br/>
        <w:t>    6. Предложения должны соответствовать следующим требованиям: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  1) должны обеспечивать однозначное толкование положений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обнародо-вания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отчета об исполнении индикативного плана социально-экономического развития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за 2015 год.</w:t>
      </w:r>
      <w:r>
        <w:rPr>
          <w:rFonts w:ascii="Arial" w:hAnsi="Arial" w:cs="Arial"/>
          <w:color w:val="333333"/>
          <w:sz w:val="19"/>
          <w:szCs w:val="19"/>
        </w:rPr>
        <w:br/>
        <w:t xml:space="preserve">2) не допускать противоречие либо несогласованность с иными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положе-ниями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>;</w:t>
      </w:r>
      <w:r>
        <w:rPr>
          <w:rFonts w:ascii="Arial" w:hAnsi="Arial" w:cs="Arial"/>
          <w:color w:val="333333"/>
          <w:sz w:val="19"/>
          <w:szCs w:val="19"/>
        </w:rPr>
        <w:br/>
        <w:t xml:space="preserve">7. Предложения, внесенные с нарушением требований и сроков,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преду</w:t>
      </w:r>
      <w:proofErr w:type="spellEnd"/>
      <w:r>
        <w:rPr>
          <w:rFonts w:ascii="Arial" w:hAnsi="Arial" w:cs="Arial"/>
          <w:color w:val="333333"/>
          <w:sz w:val="19"/>
          <w:szCs w:val="19"/>
        </w:rPr>
        <w:t>-смотренных настоящим Порядком, по решению рабочей группы могут быть оставлены без рассмотрения.</w:t>
      </w:r>
      <w:r>
        <w:rPr>
          <w:rFonts w:ascii="Arial" w:hAnsi="Arial" w:cs="Arial"/>
          <w:color w:val="333333"/>
          <w:sz w:val="19"/>
          <w:szCs w:val="19"/>
        </w:rPr>
        <w:br/>
        <w:t>8. По итогам изучения, анализа и обобщения внесенных предложений рабочая группа составляет заключение.</w:t>
      </w:r>
      <w:r>
        <w:rPr>
          <w:rFonts w:ascii="Arial" w:hAnsi="Arial" w:cs="Arial"/>
          <w:color w:val="333333"/>
          <w:sz w:val="19"/>
          <w:szCs w:val="19"/>
        </w:rPr>
        <w:br/>
        <w:t>9. Заключение рабочей группы на внесенные предложения должно со-держать следующие положения:</w:t>
      </w:r>
      <w:r>
        <w:rPr>
          <w:rFonts w:ascii="Arial" w:hAnsi="Arial" w:cs="Arial"/>
          <w:color w:val="333333"/>
          <w:sz w:val="19"/>
          <w:szCs w:val="19"/>
        </w:rPr>
        <w:br/>
        <w:t>1) общее количество поступивших предложений;</w:t>
      </w:r>
      <w:r>
        <w:rPr>
          <w:rFonts w:ascii="Arial" w:hAnsi="Arial" w:cs="Arial"/>
          <w:color w:val="333333"/>
          <w:sz w:val="19"/>
          <w:szCs w:val="19"/>
        </w:rPr>
        <w:br/>
        <w:t>2) количество поступивших предложений, оставленных в соответствии с настоящим Порядком без рассмотрения;</w:t>
      </w:r>
      <w:r>
        <w:rPr>
          <w:rFonts w:ascii="Arial" w:hAnsi="Arial" w:cs="Arial"/>
          <w:color w:val="333333"/>
          <w:sz w:val="19"/>
          <w:szCs w:val="19"/>
        </w:rPr>
        <w:br/>
        <w:t>3) отклоненные предложения ввиду несоответствия требованиям, предъявляемым настоящим Порядком;</w:t>
      </w:r>
      <w:r>
        <w:rPr>
          <w:rFonts w:ascii="Arial" w:hAnsi="Arial" w:cs="Arial"/>
          <w:color w:val="333333"/>
          <w:sz w:val="19"/>
          <w:szCs w:val="19"/>
        </w:rPr>
        <w:br/>
        <w:t>4) предложения, рекомендуемые рабочей группой к отклонению;</w:t>
      </w:r>
      <w:r>
        <w:rPr>
          <w:rFonts w:ascii="Arial" w:hAnsi="Arial" w:cs="Arial"/>
          <w:color w:val="333333"/>
          <w:sz w:val="19"/>
          <w:szCs w:val="19"/>
        </w:rPr>
        <w:br/>
        <w:t xml:space="preserve">5) предложения, рекомендуемые рабочей группой для внесения в текст отчета об исполнении индикативного плана социально-экономического развития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за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10. Рабочая группа представляет в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свое заключение и материалы деятельности рабочей группы с приложением всех поступивших предложений.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11. Перед решением вопроса о принятии включении в текст отчета об исполнении индикативного плана социально-экономического развития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за 2013 год или отклонении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заслушивает доклад уполномоченного члена рабочей группы.</w:t>
      </w:r>
      <w:r>
        <w:rPr>
          <w:rFonts w:ascii="Arial" w:hAnsi="Arial" w:cs="Arial"/>
          <w:color w:val="333333"/>
          <w:sz w:val="19"/>
          <w:szCs w:val="19"/>
        </w:rPr>
        <w:br/>
        <w:t xml:space="preserve">12. Итоги рассмотрения поступивших предложений с обязательным со-держанием принятых (включенных в индикативный план социально-экономического развития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за 2015 год предложений подлежат официальному обнародованию.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Главный специалист по социально-экономическим вопросам</w:t>
      </w:r>
      <w:r>
        <w:rPr>
          <w:rFonts w:ascii="Arial" w:hAnsi="Arial" w:cs="Arial"/>
          <w:color w:val="333333"/>
          <w:sz w:val="19"/>
          <w:szCs w:val="19"/>
        </w:rPr>
        <w:br/>
        <w:t xml:space="preserve">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                         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И.В.Шутка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                  ПРИЛОЖЕНИЕ  2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                  УТВЕРЖДЕН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                  решением Совета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                   </w:t>
      </w:r>
      <w:r>
        <w:rPr>
          <w:rFonts w:ascii="Arial" w:hAnsi="Arial" w:cs="Arial"/>
          <w:color w:val="333333"/>
          <w:sz w:val="19"/>
          <w:szCs w:val="19"/>
        </w:rPr>
        <w:br/>
        <w:t>            сельского поселения </w:t>
      </w:r>
      <w:r>
        <w:rPr>
          <w:rFonts w:ascii="Arial" w:hAnsi="Arial" w:cs="Arial"/>
          <w:color w:val="333333"/>
          <w:sz w:val="19"/>
          <w:szCs w:val="19"/>
        </w:rPr>
        <w:br/>
        <w:t>            Красноармейского района  </w:t>
      </w:r>
      <w:r>
        <w:rPr>
          <w:rFonts w:ascii="Arial" w:hAnsi="Arial" w:cs="Arial"/>
          <w:color w:val="333333"/>
          <w:sz w:val="19"/>
          <w:szCs w:val="19"/>
        </w:rPr>
        <w:br/>
        <w:t>            от _____________ № _____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 СОСТАВ организационного комитета по проведению публичных слушаний по теме: «Рассмотрение проектов индикативного плана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социально-экономического развития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и бюджета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на 2014 год»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Черепанова                                               - заместитель главы          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Елена Егоровна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          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   сельского поселения         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   Красноармейского                  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   района, председатель    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   организационного комитета;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Борисенкова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Татьяна Борисовна                                   - председатель комиссии Совета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 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                    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 поселения Красноармейского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 района по бюджету, налогам и 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 распоряжению муниципальной 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 собственностью, заместитель 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 председателя организационного 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 комитета;</w:t>
      </w:r>
      <w:r>
        <w:rPr>
          <w:rFonts w:ascii="Arial" w:hAnsi="Arial" w:cs="Arial"/>
          <w:color w:val="333333"/>
          <w:sz w:val="19"/>
          <w:szCs w:val="19"/>
        </w:rPr>
        <w:br/>
        <w:t>Коваленко </w:t>
      </w:r>
      <w:r>
        <w:rPr>
          <w:rFonts w:ascii="Arial" w:hAnsi="Arial" w:cs="Arial"/>
          <w:color w:val="333333"/>
          <w:sz w:val="19"/>
          <w:szCs w:val="19"/>
        </w:rPr>
        <w:br/>
        <w:t>Татьяна Алексеевна                                  - начальник отдела по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                                                      бухгалтерскому учету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администра-ции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      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    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 поселения Красноармейского,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 секретарь организационного комитета.                                                                  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Члены организационного комитета: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Шестопал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                                              - специалист 1 категории по         </w:t>
      </w:r>
      <w:r>
        <w:rPr>
          <w:rFonts w:ascii="Arial" w:hAnsi="Arial" w:cs="Arial"/>
          <w:color w:val="333333"/>
          <w:sz w:val="19"/>
          <w:szCs w:val="19"/>
        </w:rPr>
        <w:br/>
        <w:t>Ольга Николаевна                                     юридическим вопросам администрации         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 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    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 поселения Красноармейского района;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Лебедь                                                     -  депутат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</w:t>
      </w:r>
      <w:proofErr w:type="spellEnd"/>
      <w:r>
        <w:rPr>
          <w:rFonts w:ascii="Arial" w:hAnsi="Arial" w:cs="Arial"/>
          <w:color w:val="333333"/>
          <w:sz w:val="19"/>
          <w:szCs w:val="19"/>
        </w:rPr>
        <w:t>-</w:t>
      </w:r>
      <w:r>
        <w:rPr>
          <w:rFonts w:ascii="Arial" w:hAnsi="Arial" w:cs="Arial"/>
          <w:color w:val="333333"/>
          <w:sz w:val="19"/>
          <w:szCs w:val="19"/>
        </w:rPr>
        <w:br/>
        <w:t xml:space="preserve">Жанна Викторовна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 Красноармейского района;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Исакова                                                    - депутат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-Татьяна Григорьевна             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 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                            Красноармейского района;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Попов                                                        - депутат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-Алексей Викторович              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                             Красноармейского района;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Главный специалист </w:t>
      </w:r>
      <w:r>
        <w:rPr>
          <w:rFonts w:ascii="Arial" w:hAnsi="Arial" w:cs="Arial"/>
          <w:color w:val="333333"/>
          <w:sz w:val="19"/>
          <w:szCs w:val="19"/>
        </w:rPr>
        <w:br/>
        <w:t>по социально-экономическим вопросам</w:t>
      </w:r>
      <w:r>
        <w:rPr>
          <w:rFonts w:ascii="Arial" w:hAnsi="Arial" w:cs="Arial"/>
          <w:color w:val="333333"/>
          <w:sz w:val="19"/>
          <w:szCs w:val="19"/>
        </w:rPr>
        <w:br/>
        <w:t xml:space="preserve">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                         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И.В.Шутка</w:t>
      </w:r>
      <w:proofErr w:type="spellEnd"/>
    </w:p>
    <w:p w:rsidR="00251257" w:rsidRPr="00212725" w:rsidRDefault="00251257" w:rsidP="00212725"/>
    <w:sectPr w:rsidR="00251257" w:rsidRPr="0021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00F22"/>
    <w:multiLevelType w:val="multilevel"/>
    <w:tmpl w:val="76AC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C645F"/>
    <w:multiLevelType w:val="multilevel"/>
    <w:tmpl w:val="A42C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F8"/>
    <w:rsid w:val="00212725"/>
    <w:rsid w:val="00251257"/>
    <w:rsid w:val="009C5EF8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A818-E7D2-436D-B2EA-95671114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E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102343459765c8561a6230b291be4f92f5f696e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50-32-2016/102-reshenie-52-ot-10-11-2016-g-ob-obnarodovanii-otcheta-ob-ispolnenii-indikativnogo-plana-sotsialno-ekonomicheskogo-razvitiya-za-2015-god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2018-08-07T08:03:00Z</dcterms:created>
  <dcterms:modified xsi:type="dcterms:W3CDTF">2018-08-07T08:03:00Z</dcterms:modified>
</cp:coreProperties>
</file>