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08" w:rsidRPr="00694B08" w:rsidRDefault="00694B08" w:rsidP="00694B08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694B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46/6 от 14.12.2017 г. о бюджете на 2018 год</w:t>
      </w:r>
    </w:p>
    <w:bookmarkEnd w:id="0"/>
    <w:p w:rsidR="00694B08" w:rsidRPr="00694B08" w:rsidRDefault="00694B08" w:rsidP="00694B08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94B0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Решение № 46/6 от 14.12.2017 г. о бюджете на 2018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Решение № 46/6 от 14.12.2017 г. о бюджете на 2018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8" w:rsidRPr="00694B08" w:rsidRDefault="00694B08" w:rsidP="00694B08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94B0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8" w:rsidRPr="00694B08" w:rsidRDefault="00694B08" w:rsidP="00694B0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history="1">
        <w:r w:rsidRPr="00694B08">
          <w:rPr>
            <w:rFonts w:ascii="inherit" w:eastAsia="Times New Roman" w:hAnsi="inherit" w:cs="Arial"/>
            <w:color w:val="00387E"/>
            <w:sz w:val="19"/>
            <w:szCs w:val="19"/>
            <w:u w:val="single"/>
            <w:bdr w:val="none" w:sz="0" w:space="0" w:color="auto" w:frame="1"/>
            <w:lang w:eastAsia="ru-RU"/>
          </w:rPr>
          <w:t>ПРИЛОЖЕНИЯ К РЕШЕНИЮ № 46/6 от 14.12.2017 г.</w:t>
        </w:r>
      </w:hyperlink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РЕШЕНИЕ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«_14_» декабря_2017г     Станица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                                                                                                         №_46/6_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694B0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  бюджете</w:t>
      </w:r>
      <w:proofErr w:type="gramEnd"/>
      <w:r w:rsidRPr="00694B0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spellStart"/>
      <w:r w:rsidRPr="00694B0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694B0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 на 2018 год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  Статья 1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 1. Утвердить основные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характеристики  бюджета</w:t>
      </w:r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2018 год: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 1) общий объем доходов в сумме 35528,4 тыс. рублей;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    2) общий объем расходов в сумме 35528,4 тыс. рублей.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    3) верхний предел муниципального внутреннего долга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01.01.2019 года в сумме 0,0 тысяч рублей, в том числе верхний предел долга по муниципальным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гарантиям 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  Красноармейского района 0,0 тысяч рублей.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    4) профицит (дефицит) бюджета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в сумме 0,0 тысяч рублей.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5) резервный фонд администрации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в сумме 0,0 тысяч рублей.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 Статья 2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 1. Утвердить перечень главных администраторов доходов бюджета и закрепляемые за ними виды (подвиды) доходов бюджета и перечень главных администраторов источников финансирования дефицита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бюджета  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согласно приложению 1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перечень и коды главных администраторов доходов бюджета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- органов исполнительной власти Краснодарского края и (или) их территориальных органов (подразделений) на 2018 год, согласно приложению 2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 Статья 3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Утвердить объем поступлений доходов в бюджет </w:t>
      </w:r>
      <w:proofErr w:type="spellStart"/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Старонижестеблиевскогосельского</w:t>
      </w:r>
      <w:proofErr w:type="spellEnd"/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поселения Красноармейского района по кодам видов (подвидов) доходов на 2018 год в суммах согласно приложению 3 к настоящему Решению.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Утвердить в составе доходов бюджета </w:t>
      </w:r>
      <w:proofErr w:type="spellStart"/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 Красноармейского района безвозмездные поступления из краевого бюджета в 2018 году согласно приложению 4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 Статья 4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1. Утвердить распределение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расходов  бюджета</w:t>
      </w:r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 2018 год по разделам и подразделам классификации расходов бюджетов Российской Федерации согласно приложению 5  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 2. Утвердить ведомственную структуру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расходов  бюджета</w:t>
      </w:r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2018 год по группам  классификации расходов бюджетов Российской Федерации  согласно приложению 6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0" w:line="240" w:lineRule="auto"/>
        <w:ind w:firstLine="4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3. Увеличить размеры денежного вознаграждения лиц, замещающих муниципальные должности администрации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района, а также размеры месячных окладов муниципальных служащих  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с 1 января 2018 года на 5 процентов.</w:t>
      </w:r>
    </w:p>
    <w:p w:rsidR="00694B08" w:rsidRPr="00694B08" w:rsidRDefault="00694B08" w:rsidP="00694B08">
      <w:pPr>
        <w:shd w:val="clear" w:color="auto" w:fill="FFFFFF"/>
        <w:spacing w:before="120" w:after="0" w:line="240" w:lineRule="auto"/>
        <w:ind w:firstLine="4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4. Предусмотреть бюджетные ассигнования в целях повышения заработной платы (должностных окладов) работников муниципальных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учреждений  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(за исключением отдельных категорий работников, повышение оплаты труда которых осуществляется в соответствии с Указами Президента РФ), с 1 января 2018 года на 5 процентов.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 Статья 5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Установить, что безвозмездные поступления от физических и юридических лиц, имеющих целевое назначение, поступившие в бюджет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района, направляются в установленном порядке на увеличение расходов местного бюджета соответственно целям их предоставления.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 Статья 6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 1. На основании ст.115</w:t>
      </w:r>
      <w:r w:rsidRPr="00694B0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vertAlign w:val="superscript"/>
          <w:lang w:eastAsia="ru-RU"/>
        </w:rPr>
        <w:t>2</w:t>
      </w: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Бюджетного Кодекса Российской Федерации утвердить программу муниципальных гарантий сельского поселения в валюте Российской Федерации на 2018 год согласно приложению 7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2. Установить предельный объем муниципального долга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поселения  Красноармейского</w:t>
      </w:r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 на 2018 год в сумме 0,0 тысяч рублей.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3. Установить предельный объем расходов на обслуживание муниципального долга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2018год в сумме 0,0 тысяч рублей.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 4. Утвердить источники внутреннего финансирования дефицита бюджета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2018 год согласно приложению 8   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5. Утвердить программу муниципальных внутренних заимствований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2018 год согласно приложению 9  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6. Утвердить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перечень  муниципальных</w:t>
      </w:r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программ, предусмотренных  к финансированию из бюджета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2018 год согласно приложению 10  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7. Утвердить нормативы распределения доходов в бюджет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на 2018 год согласно приложению 11 к настоящему Решению.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 Статья 7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 1. Утвердить размер дорожного фонда в сумме 8326,3 </w:t>
      </w:r>
      <w:proofErr w:type="spellStart"/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тыс.рублей</w:t>
      </w:r>
      <w:proofErr w:type="spellEnd"/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за счет дифференцированных отчислений по акцизам на автомобильный бензин и (или) карбюраторных (инжекторных) двигателей, производимых на территории Российской Федерации – 5913,8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тыс.рублей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за счет земельного налога – 2412,5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тыс.рублей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 Статья 8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1.Средства в валюте Российской Федерации, полученные муниципальными казенными учреждениями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платных услуг и иной, приносящей доход деятельности подлежат зачислению в полном объеме в бюджет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 Статья 9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Средства в валюте Российской Федерации, поступающие во временное распоряжение муниципальных учреждений в соответствии с законодательными и иными нормативными правовыми актами Российской Федерации и нормативными актами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района, учитываются на лицевых счетах, открытых им в территориальном органе Управления Федерального казначейства по Краснодарскому краю, в установленном порядке.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 Статья 10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1.Средства, израсходованные получателями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средств  бюджета</w:t>
      </w:r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не по целевому назначению, по предписаниям Контрольно-счетной палаты Краснодарского края, подлежат возмещению в соответствующий бюджет.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 Статья 11</w:t>
      </w:r>
    </w:p>
    <w:p w:rsidR="00694B08" w:rsidRPr="00694B08" w:rsidRDefault="00694B08" w:rsidP="00694B08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использованные по состоянию на 1 января 2018 года остатки межбюджетных трансфертов, полученных </w:t>
      </w:r>
      <w:proofErr w:type="spellStart"/>
      <w:proofErr w:type="gramStart"/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Старонижестеблиевским</w:t>
      </w:r>
      <w:proofErr w:type="spellEnd"/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сельским</w:t>
      </w:r>
      <w:proofErr w:type="gramEnd"/>
      <w:r w:rsidRPr="00694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поселением из краевого бюджета  в форме субсидий, субвенций и иных межбюджетных трансфертов, имеющих целевое назначение, подлежат возврату в краевой бюджет в сроки и порядке, которые установлены министерством финансов Краснодарского края.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   Статья 12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  Нормативные правовые акты муниципального образования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подлежат приведению в соответствие с настоящим Решением в двухмесячный срок со дня вступления в силу настоящего Решения.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        Статья 13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          Главным распорядителям и получателям </w:t>
      </w:r>
      <w:proofErr w:type="gram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средств  бюджета</w:t>
      </w:r>
      <w:proofErr w:type="gram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течение одного месяца со дня опубликования (обнародования) настоящего Решения внести в установленном порядке соответствующие изменения в нормативные правовые акты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   Статья 14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   Настоящее Решение вступает в силу с 1 января 2018года.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Председатель Совета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 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Красноармейского района                                                                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Т.В.Дьяченко</w:t>
      </w:r>
      <w:proofErr w:type="spellEnd"/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                                                                 </w:t>
      </w:r>
      <w:proofErr w:type="spellStart"/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  <w:proofErr w:type="spellEnd"/>
    </w:p>
    <w:p w:rsidR="00694B08" w:rsidRPr="00694B08" w:rsidRDefault="00694B08" w:rsidP="00694B0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94B0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926"/>
    <w:multiLevelType w:val="multilevel"/>
    <w:tmpl w:val="3E3A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08"/>
    <w:rsid w:val="00251257"/>
    <w:rsid w:val="00694B08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44BC-F254-4128-ABCA-BC787441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69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4B08"/>
    <w:rPr>
      <w:color w:val="0000FF"/>
      <w:u w:val="single"/>
    </w:rPr>
  </w:style>
  <w:style w:type="paragraph" w:customStyle="1" w:styleId="email-icon">
    <w:name w:val="email-icon"/>
    <w:basedOn w:val="a"/>
    <w:rsid w:val="0069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9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94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69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694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9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4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fd578c85d72bfa63336cc2cb2a58190d45fc5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2-25-05/2016-09-28-12-25-40/407-reshenie-46-6-ot-14-12-2017-g-o-byudzhete-na-2018-god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nsteblievskaya.ru/images/docs/Bjudzh2018/PrilozhKResheniju46-6-14-12-2017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2018-08-08T10:24:00Z</dcterms:created>
  <dcterms:modified xsi:type="dcterms:W3CDTF">2018-08-08T10:26:00Z</dcterms:modified>
</cp:coreProperties>
</file>